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22460C" w:rsidRPr="0022460C" w:rsidTr="0013799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</w:tcBorders>
            <w:shd w:val="clear" w:color="auto" w:fill="FFFFFF"/>
            <w:hideMark/>
          </w:tcPr>
          <w:p w:rsidR="0022460C" w:rsidRPr="0022460C" w:rsidRDefault="0022460C" w:rsidP="002246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22460C"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524256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0C" w:rsidRPr="0022460C" w:rsidTr="001379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2460C" w:rsidRPr="0022460C" w:rsidRDefault="0022460C" w:rsidP="002246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8049"/>
            </w:tblGrid>
            <w:tr w:rsidR="0022460C" w:rsidRPr="0022460C" w:rsidTr="0013799A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460C" w:rsidRPr="0022460C" w:rsidRDefault="0022460C" w:rsidP="0022460C">
                  <w:pPr>
                    <w:spacing w:after="0" w:line="264" w:lineRule="auto"/>
                    <w:ind w:left="30"/>
                    <w:rPr>
                      <w:rFonts w:ascii="Arial" w:eastAsia="Times New Roman" w:hAnsi="Arial" w:cs="Arial"/>
                      <w:b/>
                      <w:bCs/>
                      <w:color w:val="0064AF"/>
                      <w:sz w:val="30"/>
                      <w:szCs w:val="30"/>
                      <w:lang w:eastAsia="es-ES"/>
                    </w:rPr>
                  </w:pPr>
                  <w:r w:rsidRPr="0022460C">
                    <w:rPr>
                      <w:rFonts w:ascii="Arial" w:eastAsia="Times New Roman" w:hAnsi="Arial" w:cs="Arial"/>
                      <w:b/>
                      <w:bCs/>
                      <w:color w:val="0064AF"/>
                      <w:sz w:val="30"/>
                      <w:szCs w:val="30"/>
                      <w:lang w:eastAsia="es-ES"/>
                    </w:rPr>
                    <w:br/>
                    <w:t>Últimas Noticias</w:t>
                  </w:r>
                </w:p>
              </w:tc>
            </w:tr>
            <w:tr w:rsidR="0022460C" w:rsidRPr="0022460C" w:rsidTr="0013799A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006699"/>
                  <w:vAlign w:val="center"/>
                  <w:hideMark/>
                </w:tcPr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2246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    NOTICIAS DE LA PTEC</w:t>
                  </w: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Boletín PTEC 20-02-17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83235"/>
                              <wp:effectExtent l="0" t="0" r="0" b="12065"/>
                              <wp:wrapSquare wrapText="bothSides"/>
                              <wp:docPr id="15" name="Imagen 15" descr="Boletín PTEC 20-02-17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oletín PTEC 20-02-17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Esta semana se ha avanzado en la organización del 9º Taller PTEC (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IETcc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22 de marzo) “Transformación digital: hacia la construcción 4.0” en el que seis miembros de PTEC expondrán sus experiencias conjuntamente con varios ponentes invitados de empresas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tecnol&amp;oac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...</w:t>
                        </w:r>
                        <w:hyperlink r:id="rId6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Convocatorias de proyectos de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I+D+i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0288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533400"/>
                              <wp:effectExtent l="0" t="0" r="0" b="0"/>
                              <wp:wrapSquare wrapText="bothSides"/>
                              <wp:docPr id="14" name="Imagen 14" descr="Convocatorias de proyectos de I+D+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onvocatorias de proyectos de I+D+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Esta sección fija del Boletín contiene información actualizada acerca de las convocatorias abiertas para la presentación de proyectos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I+D+i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a nivel nacional e internacional, de posible interés para el sector de construcción. Incluye el enlace a las convocatorias y las fechas de cierre de aquellas que cierran en los próximos meses. Los miembros de PTEC disponen de más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infor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... </w:t>
                        </w:r>
                        <w:hyperlink r:id="rId8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9º Taller PTEC “La transformación digital: hacia la construcción 4.0”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1312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83235"/>
                              <wp:effectExtent l="0" t="0" r="0" b="12065"/>
                              <wp:wrapSquare wrapText="bothSides"/>
                              <wp:docPr id="13" name="Imagen 13" descr="9º Taller PTEC “La transformación digital: hacia la construcción 4.0”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9º Taller PTEC “La transformación digital: hacia la construcción 4.0”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El GT PTEC Impulso a la innovación, que coordinan OHL y UNICAN, organiza el 9º Taller (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IETcc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, 22 de marzo, 10:00 a 14:30 h) “La transformación digital: hacia la construcción 4.0. Se incluirán temas, entre otros, sobre: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Big Data Digitalización del proyecto y de la construcción Internet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things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Plataformas colaborativas Realidad virtual, Realidad aumentada Auto... </w:t>
                        </w:r>
                        <w:hyperlink r:id="rId10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PTEC at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The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future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transport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system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: a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public-private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enterprise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embracing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infrastructure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and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vehicles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across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all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modes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2336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240665"/>
                              <wp:effectExtent l="0" t="0" r="0" b="6985"/>
                              <wp:wrapSquare wrapText="bothSides"/>
                              <wp:docPr id="12" name="Imagen 12" descr="PTEC at The future transport system: a public-private enterprise embracing infrastructure and vehicles across all modes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PTEC at The future transport system: a public-private enterprise embracing infrastructure and vehicles across all modes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40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FEHRL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Infrastructure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Research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Meeting 2017 (FIRM17),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held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every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two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years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now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in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fourth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edition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its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current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format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for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second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time open to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all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transport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modes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with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speakers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participants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from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logistics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sector. 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FIRM17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will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feature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multiple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information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sessions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include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final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conferences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two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Horizon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2020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projects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USE-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REFIN... </w:t>
                        </w:r>
                        <w:hyperlink r:id="rId12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RIB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Spain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publicará el cuadro Precio Centro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336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33705"/>
                              <wp:effectExtent l="0" t="0" r="0" b="4445"/>
                              <wp:wrapSquare wrapText="bothSides"/>
                              <wp:docPr id="11" name="Imagen 11" descr="RIB Spain publicará el cuadro Precio Centro 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IB Spain publicará el cuadro Precio Centro 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33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El Gabinete Técnico del Colegio de Aparejadores, Arquitectos Técnicos e Ingenieros de Edificación de Guadalajara, que elabora el cuadro de datos y 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lastRenderedPageBreak/>
                          <w:t xml:space="preserve">precios de la construcción Centro, el más utilizado en España, y RIB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Spain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, los autores de Presto, acaban de firmar un acuerdo para el uso de Presto en el desarrollo y publicación por Internet de dicha Base de Datos.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Esta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colab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... </w:t>
                        </w:r>
                        <w:hyperlink r:id="rId14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LEITAT organiza con MEIC una jornada sobre el Programa RETOS COLABORACION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438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149860"/>
                              <wp:effectExtent l="0" t="0" r="0" b="2540"/>
                              <wp:wrapSquare wrapText="bothSides"/>
                              <wp:docPr id="10" name="Imagen 10" descr="LEITAT organiza  con MEIC una jornada sobre el Programa RETOS COLABORAC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EITAT organiza  con MEIC una jornada sobre el Programa RETOS COLABORAC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49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El próximo 22 de febrero tendrá lugar en Terrassa la Jornada Conjunta LEITAT – MEIC. La jornada va dirigida a empresas interesadas en conocer el detalle de la Convocatoria RETOS-COLABORACIÓN y el tipo de financiación que ofrece. Poniendo a disposición de los participantes un espacio en el que interactuar con otras empresas para encontrar posibles socios.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El objetivo... </w:t>
                        </w:r>
                        <w:hyperlink r:id="rId16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006699"/>
                  <w:vAlign w:val="center"/>
                  <w:hideMark/>
                </w:tcPr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2246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    NOTICIAS INTERNACIONALES</w:t>
                  </w: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Jornada informativa sobre la convocatoria Acciones Urbanas Innovadoras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5408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340360"/>
                              <wp:effectExtent l="0" t="0" r="0" b="2540"/>
                              <wp:wrapSquare wrapText="bothSides"/>
                              <wp:docPr id="9" name="Imagen 9" descr="Jornada informativa sobre la convocatoria Acciones Urbanas Innovador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Jornada informativa sobre la convocatoria Acciones Urbanas Innovador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40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Todas las entidades locales interesadas en participar en la segunda convocatoria de Acciones Urbanas Innovadoras (UIA) pueden participar en la jornada informativa sobre estas ayudas y otras posibilidades de financiación el próximo día 2 de marzo.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La sesión informativa tendrá lugar en el salón de actos del Ministerio de Hacienda y Función Pública de 9:00 a 15:00 en Paseo d... </w:t>
                        </w:r>
                        <w:hyperlink r:id="rId18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Última versión de las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FAQs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aplicable a las convocatorias abiertas de Shift2Rail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6432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22275"/>
                              <wp:effectExtent l="0" t="0" r="0" b="15875"/>
                              <wp:wrapSquare wrapText="bothSides"/>
                              <wp:docPr id="8" name="Imagen 8" descr="Última versión de las FAQs aplicable a las convocatorias abiertas de Shift2Ra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Última versión de las FAQs aplicable a las convocatorias abiertas de Shift2R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22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La última versión de las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FAQs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aplicable a las convocatorias abiertas de Shift2Rail está disponible en este enlace 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>Esta información es aplicable a las convocatorias de Shift2Rail que cierran el próximo 30 de Marzo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hyperlink r:id="rId20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Segunda Llamada Conjunta España-Rusia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7456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157480"/>
                              <wp:effectExtent l="0" t="0" r="0" b="13970"/>
                              <wp:wrapSquare wrapText="bothSides"/>
                              <wp:docPr id="7" name="Imagen 7" descr="Segunda Llamada Conjunta España-Rus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Segunda Llamada Conjunta España-Rus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57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El Centro para el Desarrollo Tecnológico Industrial, y la Fundación para Asistencia a Pequeñas Empresas Innovadoras (FASIE - Rusia) lanzan la "Segunda Llamada Conjunta de Colaboración Tecnológica Empresarial España-Rusia", dentro del Programa RUSSIP (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Russian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Spanish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Innovation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Programme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).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Esta llamada permitirá seleccionar y financiar proyectos de I+D en colabora... </w:t>
                        </w:r>
                        <w:hyperlink r:id="rId22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€773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million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requested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for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Horizon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2020 Smart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Grids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&amp; Storage and Smart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Cities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projects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848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63550"/>
                              <wp:effectExtent l="0" t="0" r="0" b="12700"/>
                              <wp:wrapSquare wrapText="bothSides"/>
                              <wp:docPr id="6" name="Imagen 6" descr="€773 million requested for Horizon 2020 Smart Grids &amp; Storage and Smart Cities projects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€773 million requested for Horizon 2020 Smart Grids &amp; Storage and Smart Cities projects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6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Applicants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submitted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100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proposals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in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latest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round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Horizon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2020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energy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calls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managed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by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INEA.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results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evaluation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will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be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known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not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later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than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14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July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2017.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INEA has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received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18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project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proposals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requesting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€360.7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million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EU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funding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in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Smart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Cities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Communities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call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which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available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budget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€69.5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million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. INEA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estimates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t... </w:t>
                        </w:r>
                        <w:hyperlink r:id="rId24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EC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Publishes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Orientation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Paper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for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the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High-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Level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Group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on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H2020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Midterm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Review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6950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63550"/>
                              <wp:effectExtent l="0" t="0" r="0" b="12700"/>
                              <wp:wrapSquare wrapText="bothSides"/>
                              <wp:docPr id="5" name="Imagen 5" descr="EC Publishes Orientation Paper for the High-Level Group on H2020 Midterm Revie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C Publishes Orientation Paper for the High-Level Group on H2020 Midterm Revie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6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EC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recently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published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paper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which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will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orientate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work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High-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Level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Group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maximising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impact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EU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research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innovation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programmes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.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The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paper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provides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background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key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facts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figures,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issues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for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consideration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and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stakeholders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views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several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topics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of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interest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such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as Open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Innovation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defense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research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simplification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or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industrial </w:t>
                        </w:r>
                        <w:proofErr w:type="spellStart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competitiveness</w:t>
                        </w:r>
                        <w:proofErr w:type="spellEnd"/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... </w:t>
                        </w:r>
                        <w:hyperlink r:id="rId26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Consulta abierta Art. 185 en H2020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70528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633730"/>
                              <wp:effectExtent l="0" t="0" r="0" b="13970"/>
                              <wp:wrapSquare wrapText="bothSides"/>
                              <wp:docPr id="4" name="Imagen 4" descr="Consulta abierta Art. 185 en H2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onsulta abierta Art. 185 en H20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633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En el marco de la evaluación intermedia de Horizonte 2020, la Comisión Europea evalúa las asociaciones público-privadas entre la Unión Europea y los Estados Miembros (iniciativas del Art. 185).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>La consulta estará abierta hasta el 30 de abril 2017.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hyperlink r:id="rId28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CDTI presenta el primer número de la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Newsletter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“North Africa –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Spanish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>Innovation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 Times”.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71552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1155065"/>
                              <wp:effectExtent l="0" t="0" r="0" b="6985"/>
                              <wp:wrapSquare wrapText="bothSides"/>
                              <wp:docPr id="3" name="Imagen 3" descr="CDTI presenta el primer número de la Newsletter “North Africa – Spanish Innovation Times”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DTI presenta el primer número de la Newsletter “North Africa – Spanish Innovation Times”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55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España ha tenido una relación muy relevante a lo largo de los siglos con esta región, basada en la proximidad geográfica pero también cultural y comercial en la que se ha fundamentado una historia común articulada por el Mar Mediterráneo.</w:t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  <w:t xml:space="preserve">Gracias a esta interrelación hoy en día podemos disfrutar de avances tecnológicos surgidos en dichas latitudes en ámbitos tan diversos ... </w:t>
                        </w:r>
                        <w:hyperlink r:id="rId30" w:history="1">
                          <w:r w:rsidRPr="0022460C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22460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22460C" w:rsidRPr="0022460C" w:rsidTr="0013799A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64" w:lineRule="auto"/>
                          <w:ind w:left="30"/>
                          <w:rPr>
                            <w:rFonts w:ascii="Arial" w:eastAsia="Times New Roman" w:hAnsi="Arial" w:cs="Arial"/>
                            <w:b/>
                            <w:bCs/>
                            <w:color w:val="AA0000"/>
                            <w:sz w:val="30"/>
                            <w:szCs w:val="30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b/>
                            <w:bCs/>
                            <w:color w:val="AA0000"/>
                            <w:sz w:val="30"/>
                            <w:szCs w:val="30"/>
                            <w:lang w:eastAsia="es-ES"/>
                          </w:rPr>
                          <w:br/>
                          <w:t>Próximos eventos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AA0000"/>
                            <w:bottom w:val="single" w:sz="6" w:space="0" w:color="AA0000"/>
                          </w:tblBorders>
                          <w:tblCellMar>
                            <w:top w:w="90" w:type="dxa"/>
                            <w:left w:w="0" w:type="dxa"/>
                            <w:bottom w:w="9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22460C" w:rsidRPr="0022460C" w:rsidTr="0013799A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bottom w:val="single" w:sz="12" w:space="0" w:color="000000"/>
                              </w:tcBorders>
                              <w:shd w:val="clear" w:color="auto" w:fill="669900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  <w:t xml:space="preserve">    EVENTOS DE LA PTEC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27 de Febrero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Comisión Delegada PTEC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28 de Febrero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Infraestructuras del transporte 2017-1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lastRenderedPageBreak/>
                                <w:t xml:space="preserve">01 de Marzo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La ciudad del futuro 2017-1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02 de Marzo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Procesos de construcción 2017-1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02 de Marzo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GTE SS 2017-1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07 de Marzo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REFINET workshop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21 de Marzo de 2017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NTPs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meeting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22 de Marzo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9º Taller PTEC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29 de Marzo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CP PTEC 2017-1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05 de Abril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FIRM &amp; REFINET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10 de Mayo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13ºForo PTEC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06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Internacionalización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07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Innovación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13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Infraestructuras del transporte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14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La ciudad del futuro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20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Procesos de construcción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20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GTE SS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21 de Junio de 2017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NTPs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meeting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28 de Junio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CP PTEC 2017-2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bottom w:val="single" w:sz="12" w:space="0" w:color="000000"/>
                              </w:tcBorders>
                              <w:shd w:val="clear" w:color="auto" w:fill="669900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  <w:t xml:space="preserve">    EVENTOS NACIONALES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21 de Febrero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Jornada técnica sobre innovación en edificación sostenible. Proyecto INPHASE </w:t>
                              </w:r>
                              <w:hyperlink r:id="rId31" w:history="1">
                                <w:r w:rsidRPr="002246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eastAsia="es-ES"/>
                                  </w:rPr>
                                  <w:t>Ver evento</w:t>
                                </w:r>
                              </w:hyperlink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21 de Febrero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espacio fácil: accesibilidad cognitiva </w:t>
                              </w:r>
                              <w:hyperlink r:id="rId32" w:history="1">
                                <w:r w:rsidRPr="002246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eastAsia="es-ES"/>
                                  </w:rPr>
                                  <w:t>Ver evento</w:t>
                                </w:r>
                              </w:hyperlink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22 de Febrero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Contaminación de las aguas de escorrentía, su impacto y soluciones </w:t>
                              </w:r>
                              <w:hyperlink r:id="rId33" w:history="1">
                                <w:r w:rsidRPr="002246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eastAsia="es-ES"/>
                                  </w:rPr>
                                  <w:t>Ver evento</w:t>
                                </w:r>
                              </w:hyperlink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bottom w:val="single" w:sz="12" w:space="0" w:color="000000"/>
                              </w:tcBorders>
                              <w:shd w:val="clear" w:color="auto" w:fill="669900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  <w:t xml:space="preserve">    EVENTOS INTERNACIONALES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23 de Febrero de 2017 </w:t>
                              </w:r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Workshop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on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methods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for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durability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design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of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reinforced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concrete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structures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hyperlink r:id="rId34" w:history="1">
                                <w:r w:rsidRPr="002246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eastAsia="es-ES"/>
                                  </w:rPr>
                                  <w:t>Ver evento</w:t>
                                </w:r>
                              </w:hyperlink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2460C" w:rsidRPr="0022460C" w:rsidTr="00137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AA0000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2460C" w:rsidRPr="0022460C" w:rsidRDefault="0022460C" w:rsidP="0022460C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2246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01 de Marzo de 2017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European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Research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Conference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: </w:t>
                              </w:r>
                              <w:proofErr w:type="spellStart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Buildings</w:t>
                              </w:r>
                              <w:proofErr w:type="spellEnd"/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hyperlink r:id="rId35" w:history="1">
                                <w:r w:rsidRPr="002246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eastAsia="es-ES"/>
                                  </w:rPr>
                                  <w:t>Ver evento</w:t>
                                </w:r>
                              </w:hyperlink>
                              <w:r w:rsidRPr="0022460C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22460C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22460C" w:rsidRPr="0022460C" w:rsidTr="001379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460C" w:rsidRPr="0022460C" w:rsidRDefault="0022460C" w:rsidP="00224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22460C" w:rsidRPr="0022460C" w:rsidTr="0013799A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460C" w:rsidRPr="0022460C" w:rsidRDefault="0022460C" w:rsidP="0022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2460C" w:rsidRPr="0022460C" w:rsidRDefault="0022460C" w:rsidP="002246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</w:p>
        </w:tc>
      </w:tr>
      <w:tr w:rsidR="0022460C" w:rsidRPr="0022460C" w:rsidTr="0013799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hideMark/>
          </w:tcPr>
          <w:p w:rsidR="0022460C" w:rsidRPr="0022460C" w:rsidRDefault="0022460C" w:rsidP="002246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22460C"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eastAsia="es-ES"/>
              </w:rPr>
              <w:lastRenderedPageBreak/>
              <w:drawing>
                <wp:inline distT="0" distB="0" distL="0" distR="0">
                  <wp:extent cx="5227320" cy="495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60C" w:rsidRPr="0022460C" w:rsidRDefault="0022460C" w:rsidP="002246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es-ES"/>
        </w:rPr>
      </w:pPr>
      <w:r w:rsidRPr="0022460C">
        <w:rPr>
          <w:rFonts w:ascii="Arial" w:eastAsia="Times New Roman" w:hAnsi="Arial" w:cs="Arial"/>
          <w:color w:val="666666"/>
          <w:sz w:val="17"/>
          <w:szCs w:val="17"/>
          <w:lang w:eastAsia="es-ES"/>
        </w:rPr>
        <w:lastRenderedPageBreak/>
        <w:br/>
      </w:r>
      <w:r w:rsidRPr="0022460C">
        <w:rPr>
          <w:rFonts w:ascii="Arial" w:eastAsia="Times New Roman" w:hAnsi="Arial" w:cs="Arial"/>
          <w:color w:val="666666"/>
          <w:sz w:val="15"/>
          <w:szCs w:val="15"/>
          <w:lang w:eastAsia="es-ES"/>
        </w:rPr>
        <w:t xml:space="preserve">Recibe este mensaje porque está dado de alta en </w:t>
      </w:r>
      <w:hyperlink r:id="rId37" w:tgtFrame="_blank" w:history="1">
        <w:r w:rsidRPr="0022460C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es-ES"/>
          </w:rPr>
          <w:t>PLATAFORMAPTEC.com</w:t>
        </w:r>
      </w:hyperlink>
      <w:r w:rsidRPr="0022460C">
        <w:rPr>
          <w:rFonts w:ascii="Arial" w:eastAsia="Times New Roman" w:hAnsi="Arial" w:cs="Arial"/>
          <w:color w:val="666666"/>
          <w:sz w:val="15"/>
          <w:szCs w:val="15"/>
          <w:lang w:eastAsia="es-ES"/>
        </w:rPr>
        <w:t xml:space="preserve">. </w:t>
      </w:r>
      <w:r w:rsidRPr="0022460C">
        <w:rPr>
          <w:rFonts w:ascii="Arial" w:eastAsia="Times New Roman" w:hAnsi="Arial" w:cs="Arial"/>
          <w:color w:val="666666"/>
          <w:sz w:val="15"/>
          <w:szCs w:val="15"/>
          <w:lang w:eastAsia="es-ES"/>
        </w:rPr>
        <w:br/>
        <w:t xml:space="preserve">Si no desea recibir más mensajes como éste puede darse de baja desde el menú de usuario. </w:t>
      </w:r>
    </w:p>
    <w:p w:rsidR="0022460C" w:rsidRPr="0022460C" w:rsidRDefault="0022460C" w:rsidP="0022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2287D" w:rsidRDefault="0022287D">
      <w:bookmarkStart w:id="0" w:name="_GoBack"/>
      <w:bookmarkEnd w:id="0"/>
    </w:p>
    <w:sectPr w:rsidR="0022287D" w:rsidSect="00745F3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1"/>
    <w:rsid w:val="0022287D"/>
    <w:rsid w:val="0022460C"/>
    <w:rsid w:val="008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A3C8-DCF0-4727-80C1-45E953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460C"/>
    <w:rPr>
      <w:rFonts w:ascii="Arial" w:hAnsi="Arial" w:cs="Arial"/>
      <w:color w:val="666666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22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ptec.es/ver-noticia.php?id=3481" TargetMode="External"/><Relationship Id="rId13" Type="http://schemas.openxmlformats.org/officeDocument/2006/relationships/image" Target="http://www.plataformaptec.com/imagenes/74b098e8051504d8921ca7bcffbbb822.jpg" TargetMode="External"/><Relationship Id="rId18" Type="http://schemas.openxmlformats.org/officeDocument/2006/relationships/hyperlink" Target="http://www.plataformaptec.es/ver-noticia.php?id=3811" TargetMode="External"/><Relationship Id="rId26" Type="http://schemas.openxmlformats.org/officeDocument/2006/relationships/hyperlink" Target="http://www.plataformaptec.es/ver-noticia.php?id=381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www.plataformaptec.com/imagenes/b380f988e7b2b06ab84a504ba8d7d10d.jpg" TargetMode="External"/><Relationship Id="rId34" Type="http://schemas.openxmlformats.org/officeDocument/2006/relationships/hyperlink" Target="http://www.plataformaptec.es/ver-evento.php?id=847" TargetMode="External"/><Relationship Id="rId7" Type="http://schemas.openxmlformats.org/officeDocument/2006/relationships/image" Target="http://www.plataformaptec.com/imagenes/61e28ffa24b5adf141282d27b9de1c6a.jpg" TargetMode="External"/><Relationship Id="rId12" Type="http://schemas.openxmlformats.org/officeDocument/2006/relationships/hyperlink" Target="http://www.plataformaptec.es/ver-noticia.php?id=3820" TargetMode="External"/><Relationship Id="rId17" Type="http://schemas.openxmlformats.org/officeDocument/2006/relationships/image" Target="http://www.plataformaptec.com/imagenes/ded2eb0be213bf689274ca4493547ae0.jpg" TargetMode="External"/><Relationship Id="rId25" Type="http://schemas.openxmlformats.org/officeDocument/2006/relationships/image" Target="http://www.plataformaptec.com/imagenes/16e7b686a0fe3e4ff9c6afe22b903b27.gif" TargetMode="External"/><Relationship Id="rId33" Type="http://schemas.openxmlformats.org/officeDocument/2006/relationships/hyperlink" Target="http://www.plataformaptec.es/ver-evento.php?id=88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lataformaptec.es/ver-noticia.php?id=3810" TargetMode="External"/><Relationship Id="rId20" Type="http://schemas.openxmlformats.org/officeDocument/2006/relationships/hyperlink" Target="http://www.plataformaptec.es/ver-noticia.php?id=3812" TargetMode="External"/><Relationship Id="rId29" Type="http://schemas.openxmlformats.org/officeDocument/2006/relationships/image" Target="http://www.plataformaptec.com/imagenes/f711dad5bff9ab3c4ace5ee63dc297ec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taformaptec.es/ver-noticia.php?id=3818" TargetMode="External"/><Relationship Id="rId11" Type="http://schemas.openxmlformats.org/officeDocument/2006/relationships/image" Target="http://www.plataformaptec.com/imagenes/804c64730e786399ff69e63f8fffa832.jpg" TargetMode="External"/><Relationship Id="rId24" Type="http://schemas.openxmlformats.org/officeDocument/2006/relationships/hyperlink" Target="http://www.plataformaptec.es/ver-noticia.php?id=3814" TargetMode="External"/><Relationship Id="rId32" Type="http://schemas.openxmlformats.org/officeDocument/2006/relationships/hyperlink" Target="http://www.plataformaptec.es/ver-evento.php?id=881" TargetMode="External"/><Relationship Id="rId37" Type="http://schemas.openxmlformats.org/officeDocument/2006/relationships/hyperlink" Target="http://www.plataformaptec.com" TargetMode="External"/><Relationship Id="rId5" Type="http://schemas.openxmlformats.org/officeDocument/2006/relationships/image" Target="http://www.plataformaptec.com/imagenes/f5bd1885e56f8d0c053f9500884f5f6c.png" TargetMode="External"/><Relationship Id="rId15" Type="http://schemas.openxmlformats.org/officeDocument/2006/relationships/image" Target="http://www.plataformaptec.com/imagenes/2d66468aa70d57cf308e9238a9eeecb7.jpg" TargetMode="External"/><Relationship Id="rId23" Type="http://schemas.openxmlformats.org/officeDocument/2006/relationships/image" Target="http://www.plataformaptec.com/imagenes/3045695b15871b5544864e808a5908fc.gif" TargetMode="External"/><Relationship Id="rId28" Type="http://schemas.openxmlformats.org/officeDocument/2006/relationships/hyperlink" Target="http://www.plataformaptec.es/ver-noticia.php?id=3816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plataformaptec.es/ver-noticia.php?id=3819" TargetMode="External"/><Relationship Id="rId19" Type="http://schemas.openxmlformats.org/officeDocument/2006/relationships/image" Target="http://www.plataformaptec.com/imagenes/ded644b6d017fe577ac670e237669451.jpg" TargetMode="External"/><Relationship Id="rId31" Type="http://schemas.openxmlformats.org/officeDocument/2006/relationships/hyperlink" Target="http://www.plataformaptec.es/ver-evento.php?id=880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plataformaptec.com/imagenes/e7856f6072633ae77b4a49a16abb1dcf.png" TargetMode="External"/><Relationship Id="rId14" Type="http://schemas.openxmlformats.org/officeDocument/2006/relationships/hyperlink" Target="http://www.plataformaptec.es/ver-noticia.php?id=3809" TargetMode="External"/><Relationship Id="rId22" Type="http://schemas.openxmlformats.org/officeDocument/2006/relationships/hyperlink" Target="http://www.plataformaptec.es/ver-noticia.php?id=3813" TargetMode="External"/><Relationship Id="rId27" Type="http://schemas.openxmlformats.org/officeDocument/2006/relationships/image" Target="http://www.plataformaptec.com/imagenes/42f20ff2263948966f69b465d029e305.jpg" TargetMode="External"/><Relationship Id="rId30" Type="http://schemas.openxmlformats.org/officeDocument/2006/relationships/hyperlink" Target="http://www.plataformaptec.es/ver-noticia.php?id=3817" TargetMode="External"/><Relationship Id="rId35" Type="http://schemas.openxmlformats.org/officeDocument/2006/relationships/hyperlink" Target="http://www.plataformaptec.es/ver-evento.php?id=8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Serrano</dc:creator>
  <cp:keywords/>
  <dc:description/>
  <cp:lastModifiedBy>Ana Serrano</cp:lastModifiedBy>
  <cp:revision>2</cp:revision>
  <dcterms:created xsi:type="dcterms:W3CDTF">2017-02-20T12:56:00Z</dcterms:created>
  <dcterms:modified xsi:type="dcterms:W3CDTF">2017-02-20T12:56:00Z</dcterms:modified>
</cp:coreProperties>
</file>