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E554B" w:rsidRPr="00CE554B" w14:paraId="16775C3D" w14:textId="77777777" w:rsidTr="001410DF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666666"/>
            </w:tcBorders>
            <w:shd w:val="clear" w:color="auto" w:fill="FFFFFF"/>
            <w:hideMark/>
          </w:tcPr>
          <w:p w14:paraId="4B6FAE1D" w14:textId="09ED8432" w:rsidR="00CE554B" w:rsidRPr="00CE554B" w:rsidRDefault="00CE554B" w:rsidP="00CE5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fr-FR" w:eastAsia="fr-FR"/>
              </w:rPr>
            </w:pPr>
            <w:r w:rsidRPr="00CE554B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val="fr-FR" w:eastAsia="fr-FR"/>
              </w:rPr>
              <w:drawing>
                <wp:inline distT="0" distB="0" distL="0" distR="0" wp14:anchorId="7DE29533" wp14:editId="178950CD">
                  <wp:extent cx="5242560" cy="9144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54B" w:rsidRPr="00CE554B" w14:paraId="52CDA94C" w14:textId="77777777" w:rsidTr="001410D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C1A517F" w14:textId="77777777" w:rsidR="00CE554B" w:rsidRPr="00CE554B" w:rsidRDefault="00CE554B" w:rsidP="00CE5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fr-FR" w:eastAsia="fr-FR"/>
              </w:rPr>
            </w:pPr>
          </w:p>
          <w:tbl>
            <w:tblPr>
              <w:tblW w:w="4750" w:type="pct"/>
              <w:jc w:val="center"/>
              <w:tblCellSpacing w:w="0" w:type="dxa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8049"/>
            </w:tblGrid>
            <w:tr w:rsidR="00CE554B" w:rsidRPr="00CE554B" w14:paraId="00E284B5" w14:textId="77777777" w:rsidTr="001410DF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B55DF7" w14:textId="77777777" w:rsidR="00CE554B" w:rsidRPr="00CE554B" w:rsidRDefault="00CE554B" w:rsidP="00CE554B">
                  <w:pPr>
                    <w:spacing w:after="0" w:line="264" w:lineRule="auto"/>
                    <w:ind w:left="30"/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val="fr-FR" w:eastAsia="fr-FR"/>
                    </w:rPr>
                  </w:pPr>
                  <w:r w:rsidRPr="00CE554B">
                    <w:rPr>
                      <w:rFonts w:ascii="Arial" w:eastAsia="Times New Roman" w:hAnsi="Arial" w:cs="Arial"/>
                      <w:b/>
                      <w:bCs/>
                      <w:color w:val="0064AF"/>
                      <w:sz w:val="30"/>
                      <w:szCs w:val="30"/>
                      <w:lang w:val="fr-FR" w:eastAsia="fr-FR"/>
                    </w:rPr>
                    <w:br/>
                    <w:t>Últimas Noticias</w:t>
                  </w:r>
                </w:p>
              </w:tc>
            </w:tr>
            <w:tr w:rsidR="00CE554B" w:rsidRPr="00CE554B" w14:paraId="495E28EE" w14:textId="77777777" w:rsidTr="001410DF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14:paraId="0D09BB2B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</w:pPr>
                  <w:r w:rsidRPr="00CE55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  <w:t>    NOTICIAS DE LA PTEC</w:t>
                  </w:r>
                </w:p>
              </w:tc>
            </w:tr>
            <w:tr w:rsidR="00CE554B" w:rsidRPr="00CE554B" w14:paraId="2726E3E5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31DDAC28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C54FC4E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35684EBD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23600338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eastAsia="fr-FR"/>
                                </w:rPr>
                                <w:t>La página web del proyecto REZBUILD, nominada en los premios .EU web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DA188DD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90C8F2E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5BA56B3E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224935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E5F4574" w14:textId="45315F7F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59264" behindDoc="0" locked="0" layoutInCell="1" allowOverlap="0" wp14:anchorId="5E0089AB" wp14:editId="2421F143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26085"/>
                              <wp:effectExtent l="0" t="0" r="0" b="0"/>
                              <wp:wrapSquare wrapText="bothSides"/>
                              <wp:docPr id="12" name="Imagen 12" descr="La página web del proyecto REZBUILD, nominada en los premios .EU we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a página web del proyecto REZBUILD, nominada en los premios .EU we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26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Esta competición online, creada en 2014 por EURid, pretende reconocer los mejores sitios web europeos con el fin de favorecer y mejorar la visibilidad de páginas con iniciativas innovadoras.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>...</w:t>
                        </w:r>
                        <w:hyperlink r:id="rId6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F84CC2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74100F46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6EBE4A44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4AECD0CA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A019E96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310DA630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B2DA487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Bruno Sauer reelegido director General de Green Building Council España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3AD3C6D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7F41C41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329C2BF4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12B3C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A88477E" w14:textId="24E1D8FA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0288" behindDoc="0" locked="0" layoutInCell="1" allowOverlap="0" wp14:anchorId="55AE3C30" wp14:editId="73BFEC86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952500"/>
                              <wp:effectExtent l="0" t="0" r="0" b="0"/>
                              <wp:wrapSquare wrapText="bothSides"/>
                              <wp:docPr id="11" name="Imagen 11" descr="Bruno Sauer reelegido director General de Green Building Council Españ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runo Sauer reelegido director General de Green Building Council Españ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Bruno Sauer es director General de Green Building Council España (GBCe) y ha sido reelegido como miembro del Comité de Dirección (Board of Directors) de World Green Building Council (WorldGBC).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Sauer ha sido reelegido por su capacidad de poner en marcha iniciativas nacionales e internacionales para promocionar el impulso de la edificación sostenible como solución contra el ... </w:t>
                        </w:r>
                        <w:hyperlink r:id="rId8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2B7109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2C4F06A2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0A2D9B60" w14:textId="77777777" w:rsidTr="001410DF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14:paraId="1534159B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</w:pPr>
                  <w:r w:rsidRPr="00CE55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  <w:t>    NOTICIAS NACIONALES</w:t>
                  </w:r>
                </w:p>
              </w:tc>
            </w:tr>
            <w:tr w:rsidR="00CE554B" w:rsidRPr="00CE554B" w14:paraId="4C9A8389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4E5463D3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2AE70F8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665DAF97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9308B52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BY&amp;FORCITIZENS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32615C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71EA95E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77E60F4F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68665F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D02F6DF" w14:textId="0818AC3A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1312" behindDoc="0" locked="0" layoutInCell="1" allowOverlap="0" wp14:anchorId="1847D9D4" wp14:editId="556468E3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952500"/>
                              <wp:effectExtent l="0" t="0" r="0" b="0"/>
                              <wp:wrapSquare wrapText="bothSides"/>
                              <wp:docPr id="10" name="Imagen 10" descr="BY&amp;FORCITIZEN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BY&amp;FORCITIZEN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El Instituto para la Competitividad Empresarial de la Junta de Castilla y León y el Centro Tecnológico CARTIF, con la colaboración del Ayuntamiento de Valladolid, estamos organizando una conferencia sobre “Regeneración inteligente de ciudades y regiones”, titulada BY&amp;FORCITIZENS. Esta conferencia, que tendrá lugar los días 20 y 21 de septiembre de 2018 en la ciu... </w:t>
                        </w:r>
                        <w:hyperlink r:id="rId10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C594B1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4FE62EB4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60EAFE55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7BEB3323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EB4F7EF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75613257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F986B82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Aclaración con relación a la emisión de IMV tipo-d del Ministerio de Ciencia, Innovación y Universidades.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CD524D3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7F277D1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33BED55E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15B7FC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13FF22D" w14:textId="2373E90E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2336" behindDoc="0" locked="0" layoutInCell="1" allowOverlap="0" wp14:anchorId="177C4C12" wp14:editId="11812BA4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247650"/>
                              <wp:effectExtent l="0" t="0" r="0" b="0"/>
                              <wp:wrapSquare wrapText="bothSides"/>
                              <wp:docPr id="9" name="Imagen 9" descr="Aclaración con relación a la emisión de IMV tipo-d del Ministerio de Ciencia, Innovación y Universidades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claración con relación a la emisión de IMV tipo-d del Ministerio de Ciencia, Innovación y Universidades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El ministerio señala que el plazo de admisión según el art. 8 RD 1432/2003 del IMV es de 3 meses para aportar a la Seguridad Social y que así dé tiempo a su emisión.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El ministerio declara también que tratará de emitir en el menor plazo posible, pero si no fuera 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lastRenderedPageBreak/>
                          <w:t xml:space="preserve">posible y hubiera pasado ese plazo de 3 meses respecto a la fecha de solicitud, el solicitante podrá certifica... </w:t>
                        </w:r>
                        <w:hyperlink r:id="rId12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D3A6198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3B0C4620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72070493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7E8FF34E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22BF260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5EFE3BBE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AFE0B24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AYUDAS I+D+I | Taller sobre la convocatoria #INNOGLOBAL 2018 en @CDTIoficial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A46D5CB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A84AA8E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0E2FE392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7602D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158476E" w14:textId="50D52795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3360" behindDoc="0" locked="0" layoutInCell="1" allowOverlap="0" wp14:anchorId="167F0EE8" wp14:editId="1020AE8E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76250"/>
                              <wp:effectExtent l="0" t="0" r="0" b="0"/>
                              <wp:wrapSquare wrapText="bothSides"/>
                              <wp:docPr id="8" name="Imagen 8" descr="AYUDAS I+D+I | Taller sobre la convocatoria #INNOGLOBAL 2018 en @CDTIoficia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AYUDAS I+D+I | Taller sobre la convocatoria #INNOGLOBAL 2018 en @CDTIoficia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El próximo 18 de julio @CDTIoficial organiza un Taller sobre la convocatoria innoglobal 2018, con el fin de dar a conocer las oportunidades de financiación por vía de subvención para las empresas españolas participantes en proyectos de cooperación tecnológica internacional (CDTI-PCTI), que consigan la certificación entre el 26 de mayo y el 26 de noviembre de 2018.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Más i... </w:t>
                        </w:r>
                        <w:hyperlink r:id="rId14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B8FF89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5E39FF61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24CF0BD5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0B798BDA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2478187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3D9B75AD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5C40D0EA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Nombramientos realizados por Ministerio de Ciencia, Innovación y Universidades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FFE516E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A86ABCC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54E09C83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F6DC66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972035B" w14:textId="029E0285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4384" behindDoc="0" locked="0" layoutInCell="1" allowOverlap="0" wp14:anchorId="236B8EE2" wp14:editId="6B3C47DE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247650"/>
                              <wp:effectExtent l="0" t="0" r="0" b="0"/>
                              <wp:wrapSquare wrapText="bothSides"/>
                              <wp:docPr id="7" name="Imagen 7" descr="Nombramientos realizados por Ministerio de Ciencia, Innovación y Universidad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Nombramientos realizados por Ministerio de Ciencia, Innovación y Universidad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El ministro de Ciencia, Innovación y Universidades, Pedro Duque, ha nombrado el pasado 19 de junio a los principales responsables del nuevo departamento ministerial. Ángeles María Heras Caballero Secretaría de Estado de Universidades, Investigación, Desarrollo e Innovación; Pablo Martín Gonzalez Subsecretaría del Ministerio; e Inmaculada Aguilar Nacher jefa del Gabinete del... </w:t>
                        </w:r>
                        <w:hyperlink r:id="rId16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5F78CC8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47E12ED9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5582B0C8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16A61AC4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605AB6B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6AF60B08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28DF4D3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Modificación del Real Decreto 314/2006 de 17 de marzo, por el que se aprueba el Código Técnico de la Edificación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7C121D93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E05915A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7DB0FCCD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D5D8859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0844B28D" w14:textId="1A7E0E1C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5408" behindDoc="0" locked="0" layoutInCell="1" allowOverlap="0" wp14:anchorId="70553B35" wp14:editId="7062D479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667385"/>
                              <wp:effectExtent l="0" t="0" r="0" b="0"/>
                              <wp:wrapSquare wrapText="bothSides"/>
                              <wp:docPr id="6" name="Imagen 6" descr="Modificación del Real Decreto 314/2006 de 17 de marzo, por el que se aprueba el Código Técnico de la Edificac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odificación del Real Decreto 314/2006 de 17 de marzo, por el que se aprueba el Código Técnico de la Edificac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667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Se adapta el Código Técnico de la Edificación a lo dispuesto en la Directiva 2010/31/UE de eficiencia energética de los edificios, que establece la obligación de revisar y actualizar los requisitos mínimos de eficiencia energética periódicamente, a intervalos no superiores a cinco años con el fin de adaptarlos a los avances técnicos del sector de la construcción. 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Se in... </w:t>
                        </w:r>
                        <w:hyperlink r:id="rId18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E827435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09DF45BA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6BEF4E2C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30E267AD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1C4DC0D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0875124F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483A87B5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Doce países probarán en León un proyecto para un hormigón sostenible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E4C153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7D71236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742BF2AC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B02B51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97AA99B" w14:textId="1F2BB086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6432" behindDoc="0" locked="0" layoutInCell="1" allowOverlap="0" wp14:anchorId="10CD488F" wp14:editId="64580103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403860"/>
                              <wp:effectExtent l="0" t="0" r="0" b="0"/>
                              <wp:wrapSquare wrapText="bothSides"/>
                              <wp:docPr id="5" name="Imagen 5" descr="Doce países probarán en León un proyecto para un hormigón sostenib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Doce países probarán en León un proyecto para un hormigón sostenibl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403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Doce países europeos ensayarán en León un proyecto financiado por la Unión Europea (UE) para crear un hormigón armado más sostenible, duradero y rentable para estructuras industriales, civiles y marinas, según han informado fuentes de la Junta de Castilla y León.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El objetivo de la investigación es reducir los recursos minerales, energía y combustible asociados al proceso de... </w:t>
                        </w:r>
                        <w:hyperlink r:id="rId20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C9576F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550996E9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7231D353" w14:textId="77777777" w:rsidTr="001410DF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12" w:space="0" w:color="000000"/>
                    <w:bottom w:val="single" w:sz="12" w:space="0" w:color="000000"/>
                  </w:tcBorders>
                  <w:shd w:val="clear" w:color="auto" w:fill="006699"/>
                  <w:vAlign w:val="center"/>
                  <w:hideMark/>
                </w:tcPr>
                <w:p w14:paraId="5696CC8B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</w:pPr>
                  <w:r w:rsidRPr="00CE554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6"/>
                      <w:szCs w:val="26"/>
                      <w:lang w:val="fr-FR" w:eastAsia="fr-FR"/>
                    </w:rPr>
                    <w:t>    NOTICIAS INTERNACIONALES</w:t>
                  </w:r>
                </w:p>
              </w:tc>
            </w:tr>
            <w:tr w:rsidR="00CE554B" w:rsidRPr="00CE554B" w14:paraId="3B2BDA7D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300BBC1F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C850764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4FE6B76D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6798B6E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Desarrollo de posibles acciones de la UE para apoyar la internacionalización de las PYME en el sector europeo de la construcción en los mercados de terceros países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117C0D7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674DD5B0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6F0A1B5D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D3CBC6A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E150F77" w14:textId="4C1AB61A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7456" behindDoc="0" locked="0" layoutInCell="1" allowOverlap="0" wp14:anchorId="2E65436F" wp14:editId="50E3BEC7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200660"/>
                              <wp:effectExtent l="0" t="0" r="0" b="8890"/>
                              <wp:wrapSquare wrapText="bothSides"/>
                              <wp:docPr id="4" name="Imagen 4" descr="Desarrollo de posibles acciones de la UE para apoyar la internacionalización de las PYME en el sector europeo de la construcción en los mercados de terceros país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Desarrollo de posibles acciones de la UE para apoyar la internacionalización de las PYME en el sector europeo de la construcción en los mercados de terceros país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00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VVA, el Centro de Estrategia y de Servicios de Evaluaciones (CSES) y CSIL han sido designados por la Comisión Europea (DG GROW) para llevar a cabo este estudio.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El objetivo del estudio es elaborar propuestas específicas para el apoyo público a nivel europeo para las PYME europeas en la industria de la construcción para que se internacionalizan más allá de las fronteras de l... </w:t>
                        </w:r>
                        <w:hyperlink r:id="rId22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FF23B7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71C8B099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2897569B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1D913CFD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C69BF76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5921397E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FE2C160" w14:textId="77777777" w:rsidR="00CE554B" w:rsidRPr="00CE554B" w:rsidRDefault="00CE554B" w:rsidP="00CE554B">
                              <w:pPr>
                                <w:pBdr>
                                  <w:top w:val="single" w:sz="6" w:space="5" w:color="0064AF"/>
                                  <w:bottom w:val="single" w:sz="6" w:space="5" w:color="0064AF"/>
                                </w:pBdr>
                                <w:spacing w:after="100" w:afterAutospacing="1" w:line="300" w:lineRule="auto"/>
                                <w:ind w:left="3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23"/>
                                  <w:szCs w:val="23"/>
                                  <w:lang w:val="fr-FR" w:eastAsia="fr-FR"/>
                                </w:rPr>
                                <w:t>España alcanza un retorno del 10% UE-28 en Horizonte 2020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64AF"/>
                                  <w:sz w:val="14"/>
                                  <w:szCs w:val="14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AA78AC3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8833B93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0A878D7D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7DD6D6E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4BC05A7" w14:textId="719F5291" w:rsidR="00CE554B" w:rsidRPr="00CE554B" w:rsidRDefault="00CE554B" w:rsidP="00CE554B">
                        <w:pPr>
                          <w:spacing w:after="100" w:afterAutospacing="1" w:line="300" w:lineRule="auto"/>
                          <w:ind w:left="30" w:right="6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Calibri" w:eastAsia="Times New Roman" w:hAnsi="Calibri" w:cs="Calibri"/>
                            <w:noProof/>
                            <w:lang w:val="fr-FR" w:eastAsia="fr-FR"/>
                          </w:rPr>
                          <w:drawing>
                            <wp:anchor distT="30480" distB="30480" distL="30480" distR="30480" simplePos="0" relativeHeight="251668480" behindDoc="0" locked="0" layoutInCell="1" allowOverlap="0" wp14:anchorId="7DD8B69D" wp14:editId="6114AF8B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952500" cy="278765"/>
                              <wp:effectExtent l="0" t="0" r="0" b="6985"/>
                              <wp:wrapSquare wrapText="bothSides"/>
                              <wp:docPr id="3" name="Imagen 3" descr="España alcanza un retorno del 10% UE-28 en Horizonte 20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España alcanza un retorno del 10% UE-28 en Horizonte 20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78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>El Programa Marco de Investigación e Innovación de la Unión Europea, es el principal instrumento de financiación de actividades de investigación, desarrollo tecnológico, demostración e innovación en Europa.</w:t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</w:r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br/>
                          <w:t xml:space="preserve">Las propuestas que se presentan son evaluadas por expertos y solo unos pocos consiguen la subvención. Estas subvenciones pueden alcanzar hasta el 100% de los costes,... </w:t>
                        </w:r>
                        <w:hyperlink r:id="rId24" w:history="1">
                          <w:r w:rsidRPr="00CE554B">
                            <w:rPr>
                              <w:rFonts w:ascii="Arial" w:eastAsia="Times New Roman" w:hAnsi="Arial" w:cs="Arial"/>
                              <w:b/>
                              <w:bCs/>
                              <w:color w:val="CC0000"/>
                              <w:sz w:val="15"/>
                              <w:szCs w:val="15"/>
                              <w:u w:val="single"/>
                              <w:lang w:val="fr-FR" w:eastAsia="fr-FR"/>
                            </w:rPr>
                            <w:t>Ver noticia completa</w:t>
                          </w:r>
                        </w:hyperlink>
                        <w:r w:rsidRPr="00CE554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val="fr-FR" w:eastAsia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31B8B4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0D4B9B74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56A486A6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790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"/>
                    <w:gridCol w:w="7554"/>
                    <w:gridCol w:w="175"/>
                  </w:tblGrid>
                  <w:tr w:rsidR="00CE554B" w:rsidRPr="00CE554B" w14:paraId="2D6B4C2F" w14:textId="77777777" w:rsidTr="001410DF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50E24B41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  <w:tc>
                      <w:tcPr>
                        <w:tcW w:w="4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46DD961" w14:textId="77777777" w:rsidR="00CE554B" w:rsidRPr="00CE554B" w:rsidRDefault="00CE554B" w:rsidP="00CE554B">
                        <w:pPr>
                          <w:spacing w:after="0" w:line="264" w:lineRule="auto"/>
                          <w:ind w:left="30"/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b/>
                            <w:bCs/>
                            <w:color w:val="AA0000"/>
                            <w:sz w:val="30"/>
                            <w:szCs w:val="30"/>
                            <w:lang w:val="fr-FR" w:eastAsia="fr-FR"/>
                          </w:rPr>
                          <w:br/>
                          <w:t>Próximos eventos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single" w:sz="6" w:space="0" w:color="AA0000"/>
                            <w:bottom w:val="single" w:sz="6" w:space="0" w:color="AA0000"/>
                          </w:tblBorders>
                          <w:tblCellMar>
                            <w:top w:w="90" w:type="dxa"/>
                            <w:left w:w="0" w:type="dxa"/>
                            <w:bottom w:w="9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54"/>
                        </w:tblGrid>
                        <w:tr w:rsidR="00CE554B" w:rsidRPr="00CE554B" w14:paraId="08ABB3B1" w14:textId="77777777" w:rsidTr="001410DF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14:paraId="55390CC5" w14:textId="77777777" w:rsidR="00CE554B" w:rsidRPr="00CE554B" w:rsidRDefault="00CE554B" w:rsidP="00CE55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fr-FR" w:eastAsia="fr-FR"/>
                                </w:rPr>
                                <w:t xml:space="preserve">    EVENTOS NACIONALES </w:t>
                              </w:r>
                            </w:p>
                          </w:tc>
                        </w:tr>
                        <w:tr w:rsidR="00CE554B" w:rsidRPr="00CE554B" w14:paraId="6A49DECA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3E1943C6" w14:textId="77777777" w:rsidR="00CE554B" w:rsidRPr="00CE554B" w:rsidRDefault="00CE554B" w:rsidP="00CE554B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val="fr-FR" w:eastAsia="fr-FR"/>
                                </w:rPr>
                                <w:t xml:space="preserve">24 de Julio de 2018 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H2020. Transporte y Horizonte Europa </w:t>
                              </w:r>
                              <w:hyperlink r:id="rId25" w:history="1">
                                <w:r w:rsidRPr="00CE55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val="fr-FR" w:eastAsia="fr-FR"/>
                                  </w:rPr>
                                  <w:t>Ver evento</w:t>
                                </w:r>
                              </w:hyperlink>
                            </w:p>
                          </w:tc>
                        </w:tr>
                        <w:tr w:rsidR="00CE554B" w:rsidRPr="00CE554B" w14:paraId="03387F9A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EF4DFBF" w14:textId="77777777" w:rsidR="00CE554B" w:rsidRPr="00CE554B" w:rsidRDefault="00CE554B" w:rsidP="00CE554B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val="fr-FR" w:eastAsia="fr-FR"/>
                                </w:rPr>
                                <w:t xml:space="preserve">04 de Septiembre de 2018 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Premios a la innovación y tecnología para la eficiencia energética en la era digital </w:t>
                              </w:r>
                              <w:hyperlink r:id="rId26" w:history="1">
                                <w:r w:rsidRPr="00CE55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val="fr-FR" w:eastAsia="fr-FR"/>
                                  </w:rPr>
                                  <w:t>Ver evento</w:t>
                                </w:r>
                              </w:hyperlink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E554B" w:rsidRPr="00CE554B" w14:paraId="448B857F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83E8ED" w14:textId="77777777" w:rsidR="00CE554B" w:rsidRPr="00CE554B" w:rsidRDefault="00CE554B" w:rsidP="00CE554B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val="fr-FR" w:eastAsia="fr-FR"/>
                                </w:rPr>
                                <w:t xml:space="preserve">26 de Septiembre de 2018 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Arquitectura Avanzada y Construcción 4.0 </w:t>
                              </w:r>
                              <w:hyperlink r:id="rId27" w:history="1">
                                <w:r w:rsidRPr="00CE55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val="fr-FR" w:eastAsia="fr-FR"/>
                                  </w:rPr>
                                  <w:t>Ver evento</w:t>
                                </w:r>
                              </w:hyperlink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E554B" w:rsidRPr="00CE554B" w14:paraId="3D6563F4" w14:textId="77777777" w:rsidTr="001410DF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000000"/>
                                <w:bottom w:val="single" w:sz="12" w:space="0" w:color="000000"/>
                              </w:tcBorders>
                              <w:shd w:val="clear" w:color="auto" w:fill="669900"/>
                              <w:vAlign w:val="center"/>
                              <w:hideMark/>
                            </w:tcPr>
                            <w:p w14:paraId="378D28DC" w14:textId="77777777" w:rsidR="00CE554B" w:rsidRPr="00CE554B" w:rsidRDefault="00CE554B" w:rsidP="00CE554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6"/>
                                  <w:szCs w:val="26"/>
                                  <w:lang w:val="fr-FR" w:eastAsia="fr-FR"/>
                                </w:rPr>
                                <w:t xml:space="preserve">    EVENTOS INTERNACIONALES </w:t>
                              </w:r>
                            </w:p>
                          </w:tc>
                        </w:tr>
                        <w:tr w:rsidR="00CE554B" w:rsidRPr="00CE554B" w14:paraId="3A923F1C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B84DEC" w14:textId="77777777" w:rsidR="00CE554B" w:rsidRPr="00CE554B" w:rsidRDefault="00CE554B" w:rsidP="00CE554B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val="fr-FR" w:eastAsia="fr-FR"/>
                                </w:rPr>
                                <w:t xml:space="preserve">01 de Octubre de 2018 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Conferencia internacional IROS2108 </w:t>
                              </w:r>
                              <w:hyperlink r:id="rId28" w:history="1">
                                <w:r w:rsidRPr="00CE55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val="fr-FR" w:eastAsia="fr-FR"/>
                                  </w:rPr>
                                  <w:t>Ver evento</w:t>
                                </w:r>
                              </w:hyperlink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CE554B" w:rsidRPr="00CE554B" w14:paraId="6E8555F3" w14:textId="77777777" w:rsidTr="001410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AA0000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78BF010" w14:textId="77777777" w:rsidR="00CE554B" w:rsidRPr="00CE554B" w:rsidRDefault="00CE554B" w:rsidP="00CE554B">
                              <w:pPr>
                                <w:spacing w:after="0" w:line="300" w:lineRule="auto"/>
                                <w:ind w:left="30" w:right="60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</w:pPr>
                              <w:r w:rsidRPr="00CE554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AA0000"/>
                                  <w:sz w:val="18"/>
                                  <w:szCs w:val="18"/>
                                  <w:lang w:val="fr-FR" w:eastAsia="fr-FR"/>
                                </w:rPr>
                                <w:t xml:space="preserve">21 de Noviembre de 2018 </w:t>
                              </w:r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International Conference on Construction Research / Eduardo Torroja Architecture, Engineering and Co </w:t>
                              </w:r>
                              <w:hyperlink r:id="rId29" w:history="1">
                                <w:r w:rsidRPr="00CE554B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33"/>
                                    <w:sz w:val="15"/>
                                    <w:szCs w:val="15"/>
                                    <w:u w:val="single"/>
                                    <w:lang w:val="fr-FR" w:eastAsia="fr-FR"/>
                                  </w:rPr>
                                  <w:t>Ver evento</w:t>
                                </w:r>
                              </w:hyperlink>
                              <w:r w:rsidRPr="00CE554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val="fr-FR"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C3F37B4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100" w:type="pct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7048A192" w14:textId="77777777" w:rsidR="00CE554B" w:rsidRPr="00CE554B" w:rsidRDefault="00CE554B" w:rsidP="00CE55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  <w:r w:rsidRPr="00CE554B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  <w:t> </w:t>
                        </w:r>
                      </w:p>
                    </w:tc>
                  </w:tr>
                  <w:tr w:rsidR="00CE554B" w:rsidRPr="00CE554B" w14:paraId="67D511DE" w14:textId="77777777" w:rsidTr="001410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8568184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B361A4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B5D5B9" w14:textId="77777777" w:rsidR="00CE554B" w:rsidRPr="00CE554B" w:rsidRDefault="00CE554B" w:rsidP="00CE554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val="fr-FR" w:eastAsia="fr-FR"/>
                          </w:rPr>
                        </w:pPr>
                      </w:p>
                    </w:tc>
                  </w:tr>
                </w:tbl>
                <w:p w14:paraId="741B4EA2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val="fr-FR" w:eastAsia="fr-FR"/>
                    </w:rPr>
                  </w:pPr>
                </w:p>
              </w:tc>
            </w:tr>
            <w:tr w:rsidR="00CE554B" w:rsidRPr="00CE554B" w14:paraId="0C3B8590" w14:textId="77777777" w:rsidTr="001410DF">
              <w:trPr>
                <w:tblCellSpacing w:w="0" w:type="dxa"/>
                <w:jc w:val="center"/>
              </w:trPr>
              <w:tc>
                <w:tcPr>
                  <w:tcW w:w="8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CE7A6E" w14:textId="77777777" w:rsidR="00CE554B" w:rsidRPr="00CE554B" w:rsidRDefault="00CE554B" w:rsidP="00CE5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14:paraId="627F903F" w14:textId="77777777" w:rsidR="00CE554B" w:rsidRPr="00CE554B" w:rsidRDefault="00CE554B" w:rsidP="00CE5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fr-FR" w:eastAsia="fr-FR"/>
              </w:rPr>
            </w:pPr>
          </w:p>
        </w:tc>
      </w:tr>
      <w:tr w:rsidR="00CE554B" w:rsidRPr="00CE554B" w14:paraId="7FC25EB5" w14:textId="77777777" w:rsidTr="001410DF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hideMark/>
          </w:tcPr>
          <w:p w14:paraId="36E4BA0D" w14:textId="3E2FB911" w:rsidR="00CE554B" w:rsidRPr="00CE554B" w:rsidRDefault="00CE554B" w:rsidP="00CE554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val="fr-FR" w:eastAsia="fr-FR"/>
              </w:rPr>
            </w:pPr>
            <w:r w:rsidRPr="00CE554B">
              <w:rPr>
                <w:rFonts w:ascii="Arial" w:eastAsia="Times New Roman" w:hAnsi="Arial" w:cs="Arial"/>
                <w:noProof/>
                <w:color w:val="666666"/>
                <w:sz w:val="17"/>
                <w:szCs w:val="17"/>
                <w:lang w:val="fr-FR" w:eastAsia="fr-FR"/>
              </w:rPr>
              <w:lastRenderedPageBreak/>
              <w:drawing>
                <wp:inline distT="0" distB="0" distL="0" distR="0" wp14:anchorId="7882C294" wp14:editId="699CC49D">
                  <wp:extent cx="5227320" cy="495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73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84BB9" w14:textId="77777777" w:rsidR="00CE554B" w:rsidRPr="00CE554B" w:rsidRDefault="00CE554B" w:rsidP="00CE554B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7"/>
          <w:szCs w:val="17"/>
          <w:lang w:eastAsia="fr-FR"/>
        </w:rPr>
      </w:pPr>
      <w:r w:rsidRPr="00CE554B">
        <w:rPr>
          <w:rFonts w:ascii="Arial" w:eastAsia="Times New Roman" w:hAnsi="Arial" w:cs="Arial"/>
          <w:color w:val="666666"/>
          <w:sz w:val="17"/>
          <w:szCs w:val="17"/>
          <w:lang w:eastAsia="fr-FR"/>
        </w:rPr>
        <w:br/>
      </w:r>
      <w:r w:rsidRPr="00CE554B">
        <w:rPr>
          <w:rFonts w:ascii="Arial" w:eastAsia="Times New Roman" w:hAnsi="Arial" w:cs="Arial"/>
          <w:color w:val="666666"/>
          <w:sz w:val="15"/>
          <w:szCs w:val="15"/>
          <w:lang w:eastAsia="fr-FR"/>
        </w:rPr>
        <w:t xml:space="preserve">Recibe este mensaje porque está dado de alta en </w:t>
      </w:r>
      <w:hyperlink r:id="rId31" w:tgtFrame="_blank" w:history="1">
        <w:r w:rsidRPr="00CE554B">
          <w:rPr>
            <w:rFonts w:ascii="Arial" w:eastAsia="Times New Roman" w:hAnsi="Arial" w:cs="Arial"/>
            <w:color w:val="666666"/>
            <w:sz w:val="17"/>
            <w:szCs w:val="17"/>
            <w:u w:val="single"/>
            <w:lang w:eastAsia="fr-FR"/>
          </w:rPr>
          <w:t>PLATAFORMAPTEC.com</w:t>
        </w:r>
      </w:hyperlink>
      <w:r w:rsidRPr="00CE554B">
        <w:rPr>
          <w:rFonts w:ascii="Arial" w:eastAsia="Times New Roman" w:hAnsi="Arial" w:cs="Arial"/>
          <w:color w:val="666666"/>
          <w:sz w:val="15"/>
          <w:szCs w:val="15"/>
          <w:lang w:eastAsia="fr-FR"/>
        </w:rPr>
        <w:t xml:space="preserve">. </w:t>
      </w:r>
      <w:r w:rsidRPr="00CE554B">
        <w:rPr>
          <w:rFonts w:ascii="Arial" w:eastAsia="Times New Roman" w:hAnsi="Arial" w:cs="Arial"/>
          <w:color w:val="666666"/>
          <w:sz w:val="15"/>
          <w:szCs w:val="15"/>
          <w:lang w:eastAsia="fr-FR"/>
        </w:rPr>
        <w:br/>
        <w:t xml:space="preserve">Si no desea recibir más mensajes como éste puede darse de baja desde el menú de usuario. </w:t>
      </w:r>
    </w:p>
    <w:p w14:paraId="5F3DEFB7" w14:textId="77777777" w:rsidR="00CE554B" w:rsidRPr="00CE554B" w:rsidRDefault="00CE554B" w:rsidP="00CE554B">
      <w:pPr>
        <w:spacing w:after="0" w:line="240" w:lineRule="auto"/>
        <w:rPr>
          <w:rFonts w:ascii="Calibri" w:eastAsia="Times New Roman" w:hAnsi="Calibri" w:cs="Calibri"/>
          <w:lang w:eastAsia="fr-FR"/>
        </w:rPr>
      </w:pPr>
    </w:p>
    <w:p w14:paraId="29D97413" w14:textId="77777777" w:rsidR="0095102E" w:rsidRDefault="0095102E">
      <w:bookmarkStart w:id="0" w:name="_GoBack"/>
      <w:bookmarkEnd w:id="0"/>
    </w:p>
    <w:sectPr w:rsidR="0095102E" w:rsidSect="0086267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E2"/>
    <w:rsid w:val="004633E2"/>
    <w:rsid w:val="0095102E"/>
    <w:rsid w:val="00C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6F3A5-5E6D-4308-85DC-FE371B9B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E554B"/>
    <w:rPr>
      <w:rFonts w:ascii="Arial" w:hAnsi="Arial" w:cs="Arial"/>
      <w:color w:val="666666"/>
      <w:sz w:val="17"/>
      <w:szCs w:val="17"/>
      <w:u w:val="single"/>
    </w:rPr>
  </w:style>
  <w:style w:type="paragraph" w:styleId="NormalWeb">
    <w:name w:val="Normal (Web)"/>
    <w:basedOn w:val="Normal"/>
    <w:uiPriority w:val="99"/>
    <w:semiHidden/>
    <w:unhideWhenUsed/>
    <w:rsid w:val="00CE554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plataformaptec.com/imagenes/26500deeabde0d6b22ed2dffdca7bf83.jpg" TargetMode="External"/><Relationship Id="rId18" Type="http://schemas.openxmlformats.org/officeDocument/2006/relationships/hyperlink" Target="http://www.plataformaptec.es/ver-noticia.php?id=4711" TargetMode="External"/><Relationship Id="rId26" Type="http://schemas.openxmlformats.org/officeDocument/2006/relationships/hyperlink" Target="http://www.plataformaptec.es/ver-evento.php?id=929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://www.plataformaptec.com/imagenes/00be697e5bd2132f437e495d9eb993c1.PNG" TargetMode="External"/><Relationship Id="rId7" Type="http://schemas.openxmlformats.org/officeDocument/2006/relationships/image" Target="http://www.plataformaptec.com/imagenes/a0c70d8c13047320a9761d08de2d3330.png" TargetMode="External"/><Relationship Id="rId12" Type="http://schemas.openxmlformats.org/officeDocument/2006/relationships/hyperlink" Target="http://www.plataformaptec.es/ver-noticia.php?id=4705" TargetMode="External"/><Relationship Id="rId17" Type="http://schemas.openxmlformats.org/officeDocument/2006/relationships/image" Target="http://www.plataformaptec.com/imagenes/7e07f41197192c225364ab759df69ce4.png" TargetMode="External"/><Relationship Id="rId25" Type="http://schemas.openxmlformats.org/officeDocument/2006/relationships/hyperlink" Target="http://www.plataformaptec.es/ver-evento.php?id=92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lataformaptec.es/ver-noticia.php?id=4709" TargetMode="External"/><Relationship Id="rId20" Type="http://schemas.openxmlformats.org/officeDocument/2006/relationships/hyperlink" Target="http://www.plataformaptec.es/ver-noticia.php?id=4712" TargetMode="External"/><Relationship Id="rId29" Type="http://schemas.openxmlformats.org/officeDocument/2006/relationships/hyperlink" Target="http://www.plataformaptec.es/ver-evento.php?id=9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taformaptec.es/ver-noticia.php?id=4700" TargetMode="External"/><Relationship Id="rId11" Type="http://schemas.openxmlformats.org/officeDocument/2006/relationships/image" Target="http://www.plataformaptec.com/imagenes/f5072b551e233a2653b9cb64e85bd294.png" TargetMode="External"/><Relationship Id="rId24" Type="http://schemas.openxmlformats.org/officeDocument/2006/relationships/hyperlink" Target="http://www.plataformaptec.es/ver-noticia.php?id=4707" TargetMode="External"/><Relationship Id="rId32" Type="http://schemas.openxmlformats.org/officeDocument/2006/relationships/fontTable" Target="fontTable.xml"/><Relationship Id="rId5" Type="http://schemas.openxmlformats.org/officeDocument/2006/relationships/image" Target="http://www.plataformaptec.com/imagenes/235e0862bbb614e46e61bc717a477714.jpg" TargetMode="External"/><Relationship Id="rId15" Type="http://schemas.openxmlformats.org/officeDocument/2006/relationships/image" Target="http://www.plataformaptec.com/imagenes/578c3e0439a63c5d70d643678641d704.png" TargetMode="External"/><Relationship Id="rId23" Type="http://schemas.openxmlformats.org/officeDocument/2006/relationships/image" Target="http://www.plataformaptec.com/imagenes/13b7ebc066fa578396cd0ca553442170.png" TargetMode="External"/><Relationship Id="rId28" Type="http://schemas.openxmlformats.org/officeDocument/2006/relationships/hyperlink" Target="http://www.plataformaptec.es/ver-evento.php?id=922" TargetMode="External"/><Relationship Id="rId10" Type="http://schemas.openxmlformats.org/officeDocument/2006/relationships/hyperlink" Target="http://www.plataformaptec.es/ver-noticia.php?id=4710" TargetMode="External"/><Relationship Id="rId19" Type="http://schemas.openxmlformats.org/officeDocument/2006/relationships/image" Target="http://www.plataformaptec.com/imagenes/f59207d6b6ddacd934d18001991922b8.png" TargetMode="External"/><Relationship Id="rId31" Type="http://schemas.openxmlformats.org/officeDocument/2006/relationships/hyperlink" Target="http://www.plataformaptec.com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plataformaptec.com/imagenes/dfe54c0b940fba614327963d4b477925.png" TargetMode="External"/><Relationship Id="rId14" Type="http://schemas.openxmlformats.org/officeDocument/2006/relationships/hyperlink" Target="http://www.plataformaptec.es/ver-noticia.php?id=4708" TargetMode="External"/><Relationship Id="rId22" Type="http://schemas.openxmlformats.org/officeDocument/2006/relationships/hyperlink" Target="http://www.plataformaptec.es/ver-noticia.php?id=4715" TargetMode="External"/><Relationship Id="rId27" Type="http://schemas.openxmlformats.org/officeDocument/2006/relationships/hyperlink" Target="http://www.plataformaptec.es/ver-evento.php?id=930" TargetMode="External"/><Relationship Id="rId30" Type="http://schemas.openxmlformats.org/officeDocument/2006/relationships/image" Target="media/image2.png"/><Relationship Id="rId8" Type="http://schemas.openxmlformats.org/officeDocument/2006/relationships/hyperlink" Target="http://www.plataformaptec.es/ver-noticia.php?id=471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Provisional Carlos Seopan Gasca</dc:creator>
  <cp:keywords/>
  <dc:description/>
  <cp:lastModifiedBy>Provisional Carlos Seopan Gasca</cp:lastModifiedBy>
  <cp:revision>3</cp:revision>
  <dcterms:created xsi:type="dcterms:W3CDTF">2018-07-16T11:45:00Z</dcterms:created>
  <dcterms:modified xsi:type="dcterms:W3CDTF">2018-07-16T11:45:00Z</dcterms:modified>
</cp:coreProperties>
</file>