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250" w:type="dxa"/>
        <w:jc w:val="center"/>
        <w:tblCellSpacing w:w="0" w:type="dxa"/>
        <w:tblBorders>
          <w:top w:val="single" w:sz="6" w:space="0" w:color="666666"/>
          <w:left w:val="single" w:sz="6" w:space="0" w:color="666666"/>
          <w:bottom w:val="single" w:sz="6" w:space="0" w:color="666666"/>
          <w:right w:val="single" w:sz="6" w:space="0" w:color="666666"/>
        </w:tblBorders>
        <w:tblCellMar>
          <w:left w:w="0" w:type="dxa"/>
          <w:right w:w="0" w:type="dxa"/>
        </w:tblCellMar>
        <w:tblLook w:val="04A0" w:firstRow="1" w:lastRow="0" w:firstColumn="1" w:lastColumn="0" w:noHBand="0" w:noVBand="1"/>
      </w:tblPr>
      <w:tblGrid>
        <w:gridCol w:w="8286"/>
      </w:tblGrid>
      <w:tr w:rsidR="00FA0B1F" w:rsidRPr="00FA0B1F" w:rsidTr="00F55739">
        <w:trPr>
          <w:tblCellSpacing w:w="0" w:type="dxa"/>
          <w:jc w:val="center"/>
        </w:trPr>
        <w:tc>
          <w:tcPr>
            <w:tcW w:w="0" w:type="auto"/>
            <w:tcBorders>
              <w:top w:val="single" w:sz="6" w:space="0" w:color="666666"/>
            </w:tcBorders>
            <w:shd w:val="clear" w:color="auto" w:fill="FFFFFF"/>
            <w:hideMark/>
          </w:tcPr>
          <w:p w:rsidR="00FA0B1F" w:rsidRPr="00FA0B1F" w:rsidRDefault="00FA0B1F" w:rsidP="00FA0B1F">
            <w:pPr>
              <w:spacing w:after="0" w:line="240" w:lineRule="auto"/>
              <w:rPr>
                <w:rFonts w:ascii="Arial" w:eastAsia="Times New Roman" w:hAnsi="Arial" w:cs="Arial"/>
                <w:color w:val="666666"/>
                <w:sz w:val="17"/>
                <w:szCs w:val="17"/>
                <w:lang w:eastAsia="es-ES"/>
              </w:rPr>
            </w:pPr>
            <w:r w:rsidRPr="00FA0B1F">
              <w:rPr>
                <w:rFonts w:ascii="Arial" w:eastAsia="Times New Roman" w:hAnsi="Arial" w:cs="Arial"/>
                <w:noProof/>
                <w:color w:val="666666"/>
                <w:sz w:val="17"/>
                <w:szCs w:val="17"/>
                <w:lang w:eastAsia="es-ES"/>
              </w:rPr>
              <w:drawing>
                <wp:inline distT="0" distB="0" distL="0" distR="0">
                  <wp:extent cx="5242560" cy="9144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2560" cy="914400"/>
                          </a:xfrm>
                          <a:prstGeom prst="rect">
                            <a:avLst/>
                          </a:prstGeom>
                          <a:noFill/>
                          <a:ln>
                            <a:noFill/>
                          </a:ln>
                        </pic:spPr>
                      </pic:pic>
                    </a:graphicData>
                  </a:graphic>
                </wp:inline>
              </w:drawing>
            </w:r>
          </w:p>
        </w:tc>
      </w:tr>
      <w:tr w:rsidR="00FA0B1F" w:rsidRPr="00FA0B1F" w:rsidTr="00F55739">
        <w:trPr>
          <w:tblCellSpacing w:w="0" w:type="dxa"/>
          <w:jc w:val="center"/>
        </w:trPr>
        <w:tc>
          <w:tcPr>
            <w:tcW w:w="0" w:type="auto"/>
            <w:shd w:val="clear" w:color="auto" w:fill="FFFFFF"/>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bl>
            <w:tblPr>
              <w:tblW w:w="4750" w:type="pct"/>
              <w:jc w:val="center"/>
              <w:tblCellSpacing w:w="0" w:type="dxa"/>
              <w:tblCellMar>
                <w:top w:w="72" w:type="dxa"/>
                <w:left w:w="72" w:type="dxa"/>
                <w:bottom w:w="72" w:type="dxa"/>
                <w:right w:w="72" w:type="dxa"/>
              </w:tblCellMar>
              <w:tblLook w:val="04A0" w:firstRow="1" w:lastRow="0" w:firstColumn="1" w:lastColumn="0" w:noHBand="0" w:noVBand="1"/>
            </w:tblPr>
            <w:tblGrid>
              <w:gridCol w:w="8049"/>
            </w:tblGrid>
            <w:tr w:rsidR="00FA0B1F" w:rsidRPr="00FA0B1F" w:rsidTr="00F55739">
              <w:trPr>
                <w:trHeight w:val="180"/>
                <w:tblCellSpacing w:w="0" w:type="dxa"/>
                <w:jc w:val="center"/>
              </w:trPr>
              <w:tc>
                <w:tcPr>
                  <w:tcW w:w="0" w:type="auto"/>
                  <w:tcBorders>
                    <w:top w:val="nil"/>
                    <w:left w:val="nil"/>
                    <w:bottom w:val="nil"/>
                    <w:right w:val="nil"/>
                  </w:tcBorders>
                  <w:vAlign w:val="center"/>
                  <w:hideMark/>
                </w:tcPr>
                <w:p w:rsidR="00FA0B1F" w:rsidRPr="00FA0B1F" w:rsidRDefault="00FA0B1F" w:rsidP="00FA0B1F">
                  <w:pPr>
                    <w:spacing w:after="0" w:line="264" w:lineRule="auto"/>
                    <w:ind w:left="30"/>
                    <w:rPr>
                      <w:rFonts w:ascii="Arial" w:eastAsia="Times New Roman" w:hAnsi="Arial" w:cs="Arial"/>
                      <w:b/>
                      <w:bCs/>
                      <w:color w:val="0064AF"/>
                      <w:sz w:val="30"/>
                      <w:szCs w:val="30"/>
                      <w:lang w:eastAsia="es-ES"/>
                    </w:rPr>
                  </w:pPr>
                  <w:r w:rsidRPr="00FA0B1F">
                    <w:rPr>
                      <w:rFonts w:ascii="Arial" w:eastAsia="Times New Roman" w:hAnsi="Arial" w:cs="Arial"/>
                      <w:b/>
                      <w:bCs/>
                      <w:color w:val="0064AF"/>
                      <w:sz w:val="30"/>
                      <w:szCs w:val="30"/>
                      <w:lang w:eastAsia="es-ES"/>
                    </w:rPr>
                    <w:br/>
                    <w:t>Últimas Noticias</w:t>
                  </w:r>
                </w:p>
              </w:tc>
            </w:tr>
            <w:tr w:rsidR="00FA0B1F" w:rsidRPr="00FA0B1F" w:rsidTr="00F55739">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A0B1F" w:rsidRPr="00FA0B1F" w:rsidRDefault="00FA0B1F" w:rsidP="00FA0B1F">
                  <w:pPr>
                    <w:spacing w:after="0" w:line="240" w:lineRule="auto"/>
                    <w:rPr>
                      <w:rFonts w:ascii="Arial" w:eastAsia="Times New Roman" w:hAnsi="Arial" w:cs="Arial"/>
                      <w:b/>
                      <w:bCs/>
                      <w:color w:val="FFFFFF"/>
                      <w:sz w:val="26"/>
                      <w:szCs w:val="26"/>
                      <w:lang w:eastAsia="es-ES"/>
                    </w:rPr>
                  </w:pPr>
                  <w:r w:rsidRPr="00FA0B1F">
                    <w:rPr>
                      <w:rFonts w:ascii="Arial" w:eastAsia="Times New Roman" w:hAnsi="Arial" w:cs="Arial"/>
                      <w:b/>
                      <w:bCs/>
                      <w:color w:val="FFFFFF"/>
                      <w:sz w:val="26"/>
                      <w:szCs w:val="26"/>
                      <w:lang w:eastAsia="es-ES"/>
                    </w:rPr>
                    <w:t>    NOTICIAS DE LA PTEC</w:t>
                  </w: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 xml:space="preserve">Boletín PTEC 10/10/2016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59264"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7" name="Imagen 17" descr="Boletín PTEC 10/10/201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etín PTEC 10/10/2016 "/>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La Plataforma Tecnológica Española de la Construcción PTEC ha celebrado el 8º Taller (IETcc, 5 de octubre) y ha continuado recibiendo propuestas de posters con proyectos I+D+i para su exposición durante el 12º Foro PTEC (Sevilla, 15 de noviembre). También ha iniciado contactos con la Direcci&amp;oa...</w:t>
                        </w:r>
                        <w:hyperlink r:id="rId6"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Convocatorias de proyectos de I+D+i</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0288" behindDoc="0" locked="0" layoutInCell="1" allowOverlap="0">
                              <wp:simplePos x="0" y="0"/>
                              <wp:positionH relativeFrom="column">
                                <wp:align>right</wp:align>
                              </wp:positionH>
                              <wp:positionV relativeFrom="line">
                                <wp:posOffset>0</wp:posOffset>
                              </wp:positionV>
                              <wp:extent cx="952500" cy="633730"/>
                              <wp:effectExtent l="0" t="0" r="0" b="13970"/>
                              <wp:wrapSquare wrapText="bothSides"/>
                              <wp:docPr id="16" name="Imagen 16" descr="Convocatorias de proyectos de 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vocatorias de proyectos de I+D+i"/>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9525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 xml:space="preserve">Esta sección fija del Boletín contiene información actualizada acerca de las convocatorias abiertas para la presentación de proyectos I+D+i, a nivel nacional e internacional, de posible interés para el sector de construcción. Incluye el enlace a las convocatorias y las fechas de cierre de aquellas que cierran en los próximos meses. Los miembros de PTEC disponen de más infor... </w:t>
                        </w:r>
                        <w:hyperlink r:id="rId8"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PTEC celebró su 8º Taller sobre la innovación en las empresas del sector de la construcción</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1312" behindDoc="0" locked="0" layoutInCell="1" allowOverlap="0">
                              <wp:simplePos x="0" y="0"/>
                              <wp:positionH relativeFrom="column">
                                <wp:align>right</wp:align>
                              </wp:positionH>
                              <wp:positionV relativeFrom="line">
                                <wp:posOffset>0</wp:posOffset>
                              </wp:positionV>
                              <wp:extent cx="952500" cy="704850"/>
                              <wp:effectExtent l="0" t="0" r="0" b="0"/>
                              <wp:wrapSquare wrapText="bothSides"/>
                              <wp:docPr id="15" name="Imagen 15" descr="PTEC celebró su 8º Taller sobre la innovación en las empresas del sector de la construc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TEC celebró su 8º Taller sobre la innovación en las empresas del sector de la construcción"/>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El pasado 5 de octubre, se celebró el 8º Taller PTEC en IETcc sobre el fomento de la innovación en empresas de la construcción, con la asistencia de 38 miembros de PTEC.</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 xml:space="preserve">Se inició con una intervención del Director-Gerente que presentó las actividades puestas en marcha en PTEC en relación con el fomento de la innovación e hizo algunas reflexiones a tomar en considerac... </w:t>
                        </w:r>
                        <w:hyperlink r:id="rId10"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Actualización de la lista de posters con proyectos de I+D+i en procesos de construcción que se expondrán en el 12º Foro PTEC (Sevilla, 15 de noviembre)</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2336" behindDoc="0" locked="0" layoutInCell="1" allowOverlap="0">
                              <wp:simplePos x="0" y="0"/>
                              <wp:positionH relativeFrom="column">
                                <wp:align>right</wp:align>
                              </wp:positionH>
                              <wp:positionV relativeFrom="line">
                                <wp:posOffset>0</wp:posOffset>
                              </wp:positionV>
                              <wp:extent cx="952500" cy="483235"/>
                              <wp:effectExtent l="0" t="0" r="0" b="12065"/>
                              <wp:wrapSquare wrapText="bothSides"/>
                              <wp:docPr id="14" name="Imagen 14" descr="Actualización de la lista de posters con proyectos de I+D+i en procesos de construcción que se expondrán en el 12º Foro PTEC (Sevilla, 15 de nov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tualización de la lista de posters con proyectos de I+D+i en procesos de construcción que se expondrán en el 12º Foro PTEC (Sevilla, 15 de noviembre)"/>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9525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El próximo 15 de noviembre, PTEC organiza el 12º Foro en Sevilla sobre innovación en procesos de construcción. El programa está disponible en este enlace</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Durante este Foro, se expondrán posters con proyectos I+D+i relacionados con procesos de construcción y, hasta la fecha, se ha anunciado la presentación de los siguientes proyectos:</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lastRenderedPageBreak/>
                          <w:br/>
                          <w:t xml:space="preserve">ADAPTIWALL Multi-functional lig... </w:t>
                        </w:r>
                        <w:hyperlink r:id="rId12"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 xml:space="preserve">El clúster AEICE prevé la rehabilitación de más de 64.000 viviendas en Castilla y León hasta el año 2020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3360" behindDoc="0" locked="0" layoutInCell="1" allowOverlap="0">
                              <wp:simplePos x="0" y="0"/>
                              <wp:positionH relativeFrom="column">
                                <wp:align>right</wp:align>
                              </wp:positionH>
                              <wp:positionV relativeFrom="line">
                                <wp:posOffset>0</wp:posOffset>
                              </wp:positionV>
                              <wp:extent cx="952500" cy="485775"/>
                              <wp:effectExtent l="0" t="0" r="0" b="9525"/>
                              <wp:wrapSquare wrapText="bothSides"/>
                              <wp:docPr id="13" name="Imagen 13" descr="El clúster AEICE prevé la rehabilitación de más de 64.000 viviendas en Castilla y León hasta el año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 clúster AEICE prevé la rehabilitación de más de 64.000 viviendas en Castilla y León hasta el año 2020  "/>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9525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 xml:space="preserve">El sector de la construcción estima que en cinco años se pueden rehabilitar en Castilla y León un total de 64.000 viviendas, más de 5.000 durante el primer año, una cifra que iría incrementado cada ejercicio hasta superar las 25.000 en el año 2020. </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 xml:space="preserve">Así lo recoge el Plan de Acción para la Rehabilitación Sostenible de Castilla y León (3R), elaborado por el clúster AEICE (A... </w:t>
                        </w:r>
                        <w:hyperlink r:id="rId14"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Arranca “Rail of the Future”, el proyecto de colaboración entre Massachusetts Institute of Technology, Adif y Ferrovial</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4384" behindDoc="0" locked="0" layoutInCell="1" allowOverlap="0">
                              <wp:simplePos x="0" y="0"/>
                              <wp:positionH relativeFrom="column">
                                <wp:align>right</wp:align>
                              </wp:positionH>
                              <wp:positionV relativeFrom="line">
                                <wp:posOffset>0</wp:posOffset>
                              </wp:positionV>
                              <wp:extent cx="952500" cy="533400"/>
                              <wp:effectExtent l="0" t="0" r="0" b="0"/>
                              <wp:wrapSquare wrapText="bothSides"/>
                              <wp:docPr id="12" name="Imagen 12" descr="Arranca “Rail of the Future”, el proyecto de colaboración entre Massachusetts Institute of Technology, Adif y Ferrov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ranca “Rail of the Future”, el proyecto de colaboración entre Massachusetts Institute of Technology, Adif y Ferrovial"/>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Investigadores del prestigioso Massachusetts Institute of Technology (MIT) de Boston, junto con investigadores de Adif y el departamento de I+D de Ferrovial Agromán , están desarrollando el proyecto Rail To The Future en diferentes infraestructuras de la red de alta velocidad española.</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 xml:space="preserve">Este proyecto de investigación, que tiene una duración de dos años, está orientado ide... </w:t>
                        </w:r>
                        <w:hyperlink r:id="rId16"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Sistema prefabricado de aislamiento térmico exterior de envolventes con prestaciones fotocatalíticas: ETIXc</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5408" behindDoc="0" locked="0" layoutInCell="1" allowOverlap="0">
                              <wp:simplePos x="0" y="0"/>
                              <wp:positionH relativeFrom="column">
                                <wp:align>right</wp:align>
                              </wp:positionH>
                              <wp:positionV relativeFrom="line">
                                <wp:posOffset>0</wp:posOffset>
                              </wp:positionV>
                              <wp:extent cx="952500" cy="1862455"/>
                              <wp:effectExtent l="0" t="0" r="0" b="4445"/>
                              <wp:wrapSquare wrapText="bothSides"/>
                              <wp:docPr id="11" name="Imagen 11" descr="Sistema prefabricado de aislamiento térmico exterior de envolventes con prestaciones fotocatalíticas: ETIX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stema prefabricado de aislamiento térmico exterior de envolventes con prestaciones fotocatalíticas: ETIXc"/>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952500"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 xml:space="preserve">El objetivo principal del proyecto ETIXc es el desarrollo de un sistema de aislamiento térmico de envolventes por su exterior, prefabricado, compacto, con acción fotocatalítica, de instalación sencilla, económica y fiable. Este nuevo tipo de fachadas (ligeras), a diferencia de las tradicionales (que son pesadas), están diseñadas para la rehabilitación y mejora energética de... </w:t>
                        </w:r>
                        <w:hyperlink r:id="rId18"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EeB-CA2 Matchmaking Event 'Energy-efficient Buildings', 18 November, Brussels</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6432" behindDoc="0" locked="0" layoutInCell="1" allowOverlap="0">
                              <wp:simplePos x="0" y="0"/>
                              <wp:positionH relativeFrom="column">
                                <wp:align>right</wp:align>
                              </wp:positionH>
                              <wp:positionV relativeFrom="line">
                                <wp:posOffset>0</wp:posOffset>
                              </wp:positionV>
                              <wp:extent cx="952500" cy="161925"/>
                              <wp:effectExtent l="0" t="0" r="0" b="9525"/>
                              <wp:wrapSquare wrapText="bothSides"/>
                              <wp:docPr id="10" name="Imagen 10" descr="EeB-CA2 Matchmaking Event 'Energy-efficient Buildings', 18 November, Bruss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eB-CA2 Matchmaking Event 'Energy-efficient Buildings', 18 November, Brussels"/>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952500" cy="161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 xml:space="preserve">Innovative stakeholders from across Europe along the whole value chain of energy-efficient buildings and building technologies will get together at the EeB-CA2 matchmaking event on 18 November. From the planning office and research partners of EU projects over manufacturers to municipalities and investors – the EeB-CA2 matchmaking event is your occasion to quickly get... </w:t>
                        </w:r>
                        <w:hyperlink r:id="rId20"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A0B1F" w:rsidRPr="00FA0B1F" w:rsidRDefault="00FA0B1F" w:rsidP="00FA0B1F">
                  <w:pPr>
                    <w:spacing w:after="0" w:line="240" w:lineRule="auto"/>
                    <w:rPr>
                      <w:rFonts w:ascii="Arial" w:eastAsia="Times New Roman" w:hAnsi="Arial" w:cs="Arial"/>
                      <w:b/>
                      <w:bCs/>
                      <w:color w:val="FFFFFF"/>
                      <w:sz w:val="26"/>
                      <w:szCs w:val="26"/>
                      <w:lang w:eastAsia="es-ES"/>
                    </w:rPr>
                  </w:pPr>
                  <w:r w:rsidRPr="00FA0B1F">
                    <w:rPr>
                      <w:rFonts w:ascii="Arial" w:eastAsia="Times New Roman" w:hAnsi="Arial" w:cs="Arial"/>
                      <w:b/>
                      <w:bCs/>
                      <w:color w:val="FFFFFF"/>
                      <w:sz w:val="26"/>
                      <w:szCs w:val="26"/>
                      <w:lang w:eastAsia="es-ES"/>
                    </w:rPr>
                    <w:t>    NOTICIAS NACIONALES</w:t>
                  </w: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El Observatorio Español de I+D+i publica la edición 2016 del libro “Indicadores del Sistema Español de Ciencia, Tecnología e Innovación”</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7456" behindDoc="0" locked="0" layoutInCell="1" allowOverlap="0">
                              <wp:simplePos x="0" y="0"/>
                              <wp:positionH relativeFrom="column">
                                <wp:align>right</wp:align>
                              </wp:positionH>
                              <wp:positionV relativeFrom="line">
                                <wp:posOffset>0</wp:posOffset>
                              </wp:positionV>
                              <wp:extent cx="952500" cy="1255395"/>
                              <wp:effectExtent l="0" t="0" r="0" b="1905"/>
                              <wp:wrapSquare wrapText="bothSides"/>
                              <wp:docPr id="9" name="Imagen 9" descr="El Observatorio Español de I+D+i publica la edición 2016 del libro “Indicadores del Sistema Español de Ciencia, Tecnología e Innov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 Observatorio Español de I+D+i publica la edición 2016 del libro “Indicadores del Sistema Español de Ciencia, Tecnología e Innovación”"/>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952500" cy="1255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 xml:space="preserve">La partida destinada a financiar las actividades de I+D+i en los Presupuestos Generales del Estado, conocida como Política de Gasto 46 (PG46), asciende a 6.425 millones de euros en 2016, un 0,3% más que en el año anterior. El programa de gasto que recibe mayor financiación pública es el de investigación y desarrollo tecnológico industrial (32,9%), seguido de fomento y coord... </w:t>
                        </w:r>
                        <w:hyperlink r:id="rId22"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rHeight w:val="180"/>
                <w:tblCellSpacing w:w="0" w:type="dxa"/>
                <w:jc w:val="center"/>
              </w:trPr>
              <w:tc>
                <w:tcPr>
                  <w:tcW w:w="0" w:type="auto"/>
                  <w:tcBorders>
                    <w:top w:val="single" w:sz="12" w:space="0" w:color="000000"/>
                    <w:bottom w:val="single" w:sz="12" w:space="0" w:color="000000"/>
                  </w:tcBorders>
                  <w:shd w:val="clear" w:color="auto" w:fill="006699"/>
                  <w:vAlign w:val="center"/>
                  <w:hideMark/>
                </w:tcPr>
                <w:p w:rsidR="00FA0B1F" w:rsidRPr="00FA0B1F" w:rsidRDefault="00FA0B1F" w:rsidP="00FA0B1F">
                  <w:pPr>
                    <w:spacing w:after="0" w:line="240" w:lineRule="auto"/>
                    <w:rPr>
                      <w:rFonts w:ascii="Arial" w:eastAsia="Times New Roman" w:hAnsi="Arial" w:cs="Arial"/>
                      <w:b/>
                      <w:bCs/>
                      <w:color w:val="FFFFFF"/>
                      <w:sz w:val="26"/>
                      <w:szCs w:val="26"/>
                      <w:lang w:eastAsia="es-ES"/>
                    </w:rPr>
                  </w:pPr>
                  <w:r w:rsidRPr="00FA0B1F">
                    <w:rPr>
                      <w:rFonts w:ascii="Arial" w:eastAsia="Times New Roman" w:hAnsi="Arial" w:cs="Arial"/>
                      <w:b/>
                      <w:bCs/>
                      <w:color w:val="FFFFFF"/>
                      <w:sz w:val="26"/>
                      <w:szCs w:val="26"/>
                      <w:lang w:eastAsia="es-ES"/>
                    </w:rPr>
                    <w:t>    NOTICIAS INTERNACIONALES</w:t>
                  </w: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Presentaciones de la Jornada de presentación de convocatorias NMBP 2017</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8480"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8" name="Imagen 8" descr="Presentaciones de la Jornada de presentación de convocatorias NMBP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esentaciones de la Jornada de presentación de convocatorias NMBP 2017"/>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En este enlace están disponibles las presentaciones de la jornada informativa de presentación de las convocatorias 2017 de NMBP que tuvo lugar en CDTI el pasado 29 de septiembre.</w:t>
                        </w:r>
                        <w:r w:rsidRPr="00FA0B1F">
                          <w:rPr>
                            <w:rFonts w:ascii="Arial" w:eastAsia="Times New Roman" w:hAnsi="Arial" w:cs="Arial"/>
                            <w:color w:val="000000"/>
                            <w:sz w:val="17"/>
                            <w:szCs w:val="17"/>
                            <w:lang w:eastAsia="es-ES"/>
                          </w:rPr>
                          <w:br/>
                        </w:r>
                        <w:hyperlink r:id="rId24"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European Research Conference: Buildings</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69504" behindDoc="0" locked="0" layoutInCell="1" allowOverlap="0">
                              <wp:simplePos x="0" y="0"/>
                              <wp:positionH relativeFrom="column">
                                <wp:align>right</wp:align>
                              </wp:positionH>
                              <wp:positionV relativeFrom="line">
                                <wp:posOffset>0</wp:posOffset>
                              </wp:positionV>
                              <wp:extent cx="952500" cy="135890"/>
                              <wp:effectExtent l="0" t="0" r="0" b="16510"/>
                              <wp:wrapSquare wrapText="bothSides"/>
                              <wp:docPr id="7" name="Imagen 7" descr="European Research Conference: Buil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uropean Research Conference: Buildings"/>
                                      <pic:cNvPicPr>
                                        <a:picLocks noChangeAspect="1" noChangeArrowheads="1"/>
                                      </pic:cNvPicPr>
                                    </pic:nvPicPr>
                                    <pic:blipFill>
                                      <a:blip r:link="rId25">
                                        <a:extLst>
                                          <a:ext uri="{28A0092B-C50C-407E-A947-70E740481C1C}">
                                            <a14:useLocalDpi xmlns:a14="http://schemas.microsoft.com/office/drawing/2010/main" val="0"/>
                                          </a:ext>
                                        </a:extLst>
                                      </a:blip>
                                      <a:srcRect/>
                                      <a:stretch>
                                        <a:fillRect/>
                                      </a:stretch>
                                    </pic:blipFill>
                                    <pic:spPr bwMode="auto">
                                      <a:xfrm>
                                        <a:off x="0" y="0"/>
                                        <a:ext cx="952500" cy="135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The "European Research Conference: Buildings", held on 1 March 2017 in the context of the annual World Sustainable Energy Days 2017 (WSED), in Wels/Austria.</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 xml:space="preserve">The conference presents new research results on energy-efficient and sustainable buildings. Conference topics include novel materials, energy storage, building energy systems, smart buildings, high performance buildin... </w:t>
                        </w:r>
                        <w:hyperlink r:id="rId26"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Programa COST - próximo cierre de convocatoria: 7 de diciembre</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70528" behindDoc="0" locked="0" layoutInCell="1" allowOverlap="0">
                              <wp:simplePos x="0" y="0"/>
                              <wp:positionH relativeFrom="column">
                                <wp:align>right</wp:align>
                              </wp:positionH>
                              <wp:positionV relativeFrom="line">
                                <wp:posOffset>0</wp:posOffset>
                              </wp:positionV>
                              <wp:extent cx="952500" cy="197485"/>
                              <wp:effectExtent l="0" t="0" r="0" b="12065"/>
                              <wp:wrapSquare wrapText="bothSides"/>
                              <wp:docPr id="6" name="Imagen 6" descr="Programa COST - próximo cierre de convocatoria: 7 de dicie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ograma COST - próximo cierre de convocatoria: 7 de diciembre"/>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952500" cy="197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El programa COST es un programa abierto durante todo el año con dos cierres en este año 2016. El primer deadline fue el 25 de abril y el próximo deadline será el 7 de diciembre de 2016 a las 12.00 del mediodía.</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Las Acciones aprobadas en el primer deadline de este año (OC-1-2016) serán públicas a finales de octubre.</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 xml:space="preserve">Puedes encontrar información al respecto en la web de C... </w:t>
                        </w:r>
                        <w:hyperlink r:id="rId28"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Abierta inscripción Conferencia Horizonte 2020 - 16 noviembre - Valladolid</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71552"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5" name="Imagen 5" descr="Abierta inscripción Conferencia Horizonte 2020 - 16 noviembre - Vallad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bierta inscripción Conferencia Horizonte 2020 - 16 noviembre - Valladolid"/>
                                      <pic:cNvPicPr>
                                        <a:picLocks noChangeAspect="1" noChangeArrowheads="1"/>
                                      </pic:cNvPicPr>
                                    </pic:nvPicPr>
                                    <pic:blipFill>
                                      <a:blip r:link="rId29">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Ya está abierta la inscripción para la 9º Conferenciadel Programa Marco de Investigación e Innovación de la Unión Europea en España, "Fomentando la innovación, impulsando el conocimiento", que se celebrará el 16 de noviembre en el Centro Cultural Miguel Delibes de Valladolid.</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lastRenderedPageBreak/>
                          <w:br/>
                          <w:t xml:space="preserve">La Conferencia está organizada por el CDTI y el Ministerio de Economía y Competitividad (MIN... </w:t>
                        </w:r>
                        <w:hyperlink r:id="rId30"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lastRenderedPageBreak/>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Taller Horizonte 2020. Reto Social 5. Patrimonio Cultural para el Desarrollo Sostenible: Objetivos, prioridades y procedimientos de gestión</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72576" behindDoc="0" locked="0" layoutInCell="1" allowOverlap="0">
                              <wp:simplePos x="0" y="0"/>
                              <wp:positionH relativeFrom="column">
                                <wp:align>right</wp:align>
                              </wp:positionH>
                              <wp:positionV relativeFrom="line">
                                <wp:posOffset>0</wp:posOffset>
                              </wp:positionV>
                              <wp:extent cx="952500" cy="463550"/>
                              <wp:effectExtent l="0" t="0" r="0" b="12700"/>
                              <wp:wrapSquare wrapText="bothSides"/>
                              <wp:docPr id="4" name="Imagen 4" descr="Taller Horizonte 2020. Reto Social 5. Patrimonio Cultural para el Desarrollo Sostenible: Objetivos, prioridades y procedimientos de gest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aller Horizonte 2020. Reto Social 5. Patrimonio Cultural para el Desarrollo Sostenible: Objetivos, prioridades y procedimientos de gestión"/>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95250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 xml:space="preserve">Los próximos días 26 y 27 de octubre tendrá lugar en la Diputación Provincial de A Coruña una jornada informativa sobre oportunidades de financiación europeas. El día 26 se dará una visión general de las oportunidades y se contará con la presencia del Punto Nacional de Contacto del programa LIFE del MAGRAMA. En la segunda jornada, el Punto Nacional de Contacto de CDTI ... </w:t>
                        </w:r>
                        <w:hyperlink r:id="rId32"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tbl>
                        <w:tblPr>
                          <w:tblW w:w="5000" w:type="pct"/>
                          <w:tblCellSpacing w:w="0" w:type="dxa"/>
                          <w:tblCellMar>
                            <w:left w:w="0" w:type="dxa"/>
                            <w:right w:w="0" w:type="dxa"/>
                          </w:tblCellMar>
                          <w:tblLook w:val="04A0" w:firstRow="1" w:lastRow="0" w:firstColumn="1" w:lastColumn="0" w:noHBand="0" w:noVBand="1"/>
                        </w:tblPr>
                        <w:tblGrid>
                          <w:gridCol w:w="7554"/>
                        </w:tblGrid>
                        <w:tr w:rsidR="00FA0B1F" w:rsidRPr="00FA0B1F" w:rsidTr="00F55739">
                          <w:trPr>
                            <w:tblCellSpacing w:w="0" w:type="dxa"/>
                          </w:trPr>
                          <w:tc>
                            <w:tcPr>
                              <w:tcW w:w="0" w:type="auto"/>
                              <w:tcBorders>
                                <w:top w:val="nil"/>
                                <w:left w:val="nil"/>
                                <w:bottom w:val="nil"/>
                                <w:right w:val="nil"/>
                              </w:tcBorders>
                              <w:vAlign w:val="center"/>
                              <w:hideMark/>
                            </w:tcPr>
                            <w:p w:rsidR="00FA0B1F" w:rsidRPr="00FA0B1F" w:rsidRDefault="00FA0B1F" w:rsidP="00FA0B1F">
                              <w:pPr>
                                <w:pBdr>
                                  <w:top w:val="single" w:sz="6" w:space="5" w:color="0064AF"/>
                                  <w:bottom w:val="single" w:sz="6" w:space="5" w:color="0064AF"/>
                                </w:pBdr>
                                <w:spacing w:after="100" w:afterAutospacing="1" w:line="300" w:lineRule="auto"/>
                                <w:ind w:left="30"/>
                                <w:rPr>
                                  <w:rFonts w:ascii="Arial" w:eastAsia="Times New Roman" w:hAnsi="Arial" w:cs="Arial"/>
                                  <w:b/>
                                  <w:bCs/>
                                  <w:color w:val="0064AF"/>
                                  <w:sz w:val="14"/>
                                  <w:szCs w:val="14"/>
                                  <w:lang w:eastAsia="es-ES"/>
                                </w:rPr>
                              </w:pPr>
                              <w:r w:rsidRPr="00FA0B1F">
                                <w:rPr>
                                  <w:rFonts w:ascii="Arial" w:eastAsia="Times New Roman" w:hAnsi="Arial" w:cs="Arial"/>
                                  <w:b/>
                                  <w:bCs/>
                                  <w:color w:val="0064AF"/>
                                  <w:sz w:val="23"/>
                                  <w:szCs w:val="23"/>
                                  <w:lang w:eastAsia="es-ES"/>
                                </w:rPr>
                                <w:t>Join a High Level Group on a potential European Innovation Council</w:t>
                              </w:r>
                              <w:r w:rsidRPr="00FA0B1F">
                                <w:rPr>
                                  <w:rFonts w:ascii="Arial" w:eastAsia="Times New Roman" w:hAnsi="Arial" w:cs="Arial"/>
                                  <w:b/>
                                  <w:bCs/>
                                  <w:color w:val="0064AF"/>
                                  <w:sz w:val="14"/>
                                  <w:szCs w:val="14"/>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r>
                  <w:tr w:rsidR="00FA0B1F" w:rsidRPr="00FA0B1F" w:rsidTr="00F55739">
                    <w:trPr>
                      <w:trHeight w:val="120"/>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4300" w:type="pct"/>
                        <w:tcBorders>
                          <w:top w:val="nil"/>
                          <w:left w:val="nil"/>
                          <w:bottom w:val="nil"/>
                          <w:right w:val="nil"/>
                        </w:tcBorders>
                        <w:hideMark/>
                      </w:tcPr>
                      <w:p w:rsidR="00FA0B1F" w:rsidRPr="00FA0B1F" w:rsidRDefault="00FA0B1F" w:rsidP="00FA0B1F">
                        <w:pPr>
                          <w:spacing w:after="100" w:afterAutospacing="1" w:line="300" w:lineRule="auto"/>
                          <w:ind w:left="30" w:right="60"/>
                          <w:rPr>
                            <w:rFonts w:ascii="Arial" w:eastAsia="Times New Roman" w:hAnsi="Arial" w:cs="Arial"/>
                            <w:color w:val="000000"/>
                            <w:sz w:val="17"/>
                            <w:szCs w:val="17"/>
                            <w:lang w:eastAsia="es-ES"/>
                          </w:rPr>
                        </w:pPr>
                        <w:r w:rsidRPr="00FA0B1F">
                          <w:rPr>
                            <w:rFonts w:ascii="Times New Roman" w:eastAsia="Times New Roman" w:hAnsi="Times New Roman" w:cs="Times New Roman"/>
                            <w:noProof/>
                            <w:sz w:val="24"/>
                            <w:szCs w:val="24"/>
                            <w:lang w:eastAsia="es-ES"/>
                          </w:rPr>
                          <w:drawing>
                            <wp:anchor distT="30480" distB="30480" distL="30480" distR="30480" simplePos="0" relativeHeight="251673600" behindDoc="0" locked="0" layoutInCell="1" allowOverlap="0">
                              <wp:simplePos x="0" y="0"/>
                              <wp:positionH relativeFrom="column">
                                <wp:align>right</wp:align>
                              </wp:positionH>
                              <wp:positionV relativeFrom="line">
                                <wp:posOffset>0</wp:posOffset>
                              </wp:positionV>
                              <wp:extent cx="952500" cy="660400"/>
                              <wp:effectExtent l="0" t="0" r="0" b="6350"/>
                              <wp:wrapSquare wrapText="bothSides"/>
                              <wp:docPr id="3" name="Imagen 3" descr="Join a High Level Group on a potential European Innovation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in a High Level Group on a potential European Innovation Council"/>
                                      <pic:cNvPicPr>
                                        <a:picLocks noChangeAspect="1" noChangeArrowheads="1"/>
                                      </pic:cNvPicPr>
                                    </pic:nvPicPr>
                                    <pic:blipFill>
                                      <a:blip r:link="rId33">
                                        <a:extLst>
                                          <a:ext uri="{28A0092B-C50C-407E-A947-70E740481C1C}">
                                            <a14:useLocalDpi xmlns:a14="http://schemas.microsoft.com/office/drawing/2010/main" val="0"/>
                                          </a:ext>
                                        </a:extLst>
                                      </a:blip>
                                      <a:srcRect/>
                                      <a:stretch>
                                        <a:fillRect/>
                                      </a:stretch>
                                    </pic:blipFill>
                                    <pic:spPr bwMode="auto">
                                      <a:xfrm>
                                        <a:off x="0" y="0"/>
                                        <a:ext cx="952500"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0B1F">
                          <w:rPr>
                            <w:rFonts w:ascii="Arial" w:eastAsia="Times New Roman" w:hAnsi="Arial" w:cs="Arial"/>
                            <w:color w:val="000000"/>
                            <w:sz w:val="17"/>
                            <w:szCs w:val="17"/>
                            <w:lang w:eastAsia="es-ES"/>
                          </w:rPr>
                          <w:t>The European Commission is inviting Europe's top innovators to join a High Level Group that will advise on the design of a potential European Innovation Council (EIC).</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The call for applications announcement can be found here. The deadline for applications is 27 October 2016. The High Level Group will have up to 12 members who would start work by the end of 2016.</w:t>
                        </w:r>
                        <w:r w:rsidRPr="00FA0B1F">
                          <w:rPr>
                            <w:rFonts w:ascii="Arial" w:eastAsia="Times New Roman" w:hAnsi="Arial" w:cs="Arial"/>
                            <w:color w:val="000000"/>
                            <w:sz w:val="17"/>
                            <w:szCs w:val="17"/>
                            <w:lang w:eastAsia="es-ES"/>
                          </w:rPr>
                          <w:br/>
                        </w:r>
                        <w:r w:rsidRPr="00FA0B1F">
                          <w:rPr>
                            <w:rFonts w:ascii="Arial" w:eastAsia="Times New Roman" w:hAnsi="Arial" w:cs="Arial"/>
                            <w:color w:val="000000"/>
                            <w:sz w:val="17"/>
                            <w:szCs w:val="17"/>
                            <w:lang w:eastAsia="es-ES"/>
                          </w:rPr>
                          <w:br/>
                          <w:t xml:space="preserve">Access ... </w:t>
                        </w:r>
                        <w:hyperlink r:id="rId34" w:history="1">
                          <w:r w:rsidRPr="00FA0B1F">
                            <w:rPr>
                              <w:rFonts w:ascii="Arial" w:eastAsia="Times New Roman" w:hAnsi="Arial" w:cs="Arial"/>
                              <w:b/>
                              <w:bCs/>
                              <w:color w:val="CC0000"/>
                              <w:sz w:val="15"/>
                              <w:szCs w:val="15"/>
                              <w:u w:val="single"/>
                              <w:lang w:eastAsia="es-ES"/>
                            </w:rPr>
                            <w:t>Ver noticia completa</w:t>
                          </w:r>
                        </w:hyperlink>
                        <w:r w:rsidRPr="00FA0B1F">
                          <w:rPr>
                            <w:rFonts w:ascii="Arial" w:eastAsia="Times New Roman" w:hAnsi="Arial" w:cs="Arial"/>
                            <w:color w:val="000000"/>
                            <w:sz w:val="17"/>
                            <w:szCs w:val="17"/>
                            <w:lang w:eastAsia="es-ES"/>
                          </w:rPr>
                          <w:t xml:space="preserve"> </w:t>
                        </w: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tbl>
                  <w:tblPr>
                    <w:tblW w:w="7905" w:type="dxa"/>
                    <w:jc w:val="center"/>
                    <w:tblCellSpacing w:w="0" w:type="dxa"/>
                    <w:tblCellMar>
                      <w:left w:w="0" w:type="dxa"/>
                      <w:right w:w="0" w:type="dxa"/>
                    </w:tblCellMar>
                    <w:tblLook w:val="04A0" w:firstRow="1" w:lastRow="0" w:firstColumn="1" w:lastColumn="0" w:noHBand="0" w:noVBand="1"/>
                  </w:tblPr>
                  <w:tblGrid>
                    <w:gridCol w:w="176"/>
                    <w:gridCol w:w="7554"/>
                    <w:gridCol w:w="175"/>
                  </w:tblGrid>
                  <w:tr w:rsidR="00FA0B1F" w:rsidRPr="00FA0B1F" w:rsidTr="00F55739">
                    <w:trPr>
                      <w:trHeight w:val="120"/>
                      <w:tblCellSpacing w:w="0" w:type="dxa"/>
                      <w:jc w:val="center"/>
                    </w:trPr>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t> </w:t>
                        </w:r>
                      </w:p>
                    </w:tc>
                    <w:tc>
                      <w:tcPr>
                        <w:tcW w:w="4300" w:type="pct"/>
                        <w:tcBorders>
                          <w:top w:val="nil"/>
                          <w:left w:val="nil"/>
                          <w:bottom w:val="nil"/>
                          <w:right w:val="nil"/>
                        </w:tcBorders>
                        <w:hideMark/>
                      </w:tcPr>
                      <w:p w:rsidR="00FA0B1F" w:rsidRPr="00FA0B1F" w:rsidRDefault="00FA0B1F" w:rsidP="00FA0B1F">
                        <w:pPr>
                          <w:spacing w:after="0" w:line="264" w:lineRule="auto"/>
                          <w:ind w:left="30"/>
                          <w:rPr>
                            <w:rFonts w:ascii="Arial" w:eastAsia="Times New Roman" w:hAnsi="Arial" w:cs="Arial"/>
                            <w:b/>
                            <w:bCs/>
                            <w:color w:val="AA0000"/>
                            <w:sz w:val="30"/>
                            <w:szCs w:val="30"/>
                            <w:lang w:eastAsia="es-ES"/>
                          </w:rPr>
                        </w:pPr>
                        <w:r w:rsidRPr="00FA0B1F">
                          <w:rPr>
                            <w:rFonts w:ascii="Arial" w:eastAsia="Times New Roman" w:hAnsi="Arial" w:cs="Arial"/>
                            <w:b/>
                            <w:bCs/>
                            <w:color w:val="AA0000"/>
                            <w:sz w:val="30"/>
                            <w:szCs w:val="30"/>
                            <w:lang w:eastAsia="es-ES"/>
                          </w:rPr>
                          <w:br/>
                          <w:t>Próximos eventos</w:t>
                        </w:r>
                      </w:p>
                      <w:tbl>
                        <w:tblPr>
                          <w:tblW w:w="5000" w:type="pct"/>
                          <w:tblCellSpacing w:w="0" w:type="dxa"/>
                          <w:tblBorders>
                            <w:top w:val="single" w:sz="6" w:space="0" w:color="AA0000"/>
                            <w:bottom w:val="single" w:sz="6" w:space="0" w:color="AA0000"/>
                          </w:tblBorders>
                          <w:tblCellMar>
                            <w:top w:w="90" w:type="dxa"/>
                            <w:left w:w="0" w:type="dxa"/>
                            <w:bottom w:w="90" w:type="dxa"/>
                            <w:right w:w="0" w:type="dxa"/>
                          </w:tblCellMar>
                          <w:tblLook w:val="04A0" w:firstRow="1" w:lastRow="0" w:firstColumn="1" w:lastColumn="0" w:noHBand="0" w:noVBand="1"/>
                        </w:tblPr>
                        <w:tblGrid>
                          <w:gridCol w:w="7554"/>
                        </w:tblGrid>
                        <w:tr w:rsidR="00FA0B1F" w:rsidRPr="00FA0B1F" w:rsidTr="00F55739">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FA0B1F" w:rsidRPr="00FA0B1F" w:rsidRDefault="00FA0B1F" w:rsidP="00FA0B1F">
                              <w:pPr>
                                <w:spacing w:after="0" w:line="240" w:lineRule="auto"/>
                                <w:rPr>
                                  <w:rFonts w:ascii="Arial" w:eastAsia="Times New Roman" w:hAnsi="Arial" w:cs="Arial"/>
                                  <w:b/>
                                  <w:bCs/>
                                  <w:color w:val="FFFFFF"/>
                                  <w:sz w:val="26"/>
                                  <w:szCs w:val="26"/>
                                  <w:lang w:eastAsia="es-ES"/>
                                </w:rPr>
                              </w:pPr>
                              <w:r w:rsidRPr="00FA0B1F">
                                <w:rPr>
                                  <w:rFonts w:ascii="Arial" w:eastAsia="Times New Roman" w:hAnsi="Arial" w:cs="Arial"/>
                                  <w:b/>
                                  <w:bCs/>
                                  <w:color w:val="FFFFFF"/>
                                  <w:sz w:val="26"/>
                                  <w:szCs w:val="26"/>
                                  <w:lang w:eastAsia="es-ES"/>
                                </w:rPr>
                                <w:t xml:space="preserve">    EVENTOS DE LA PTEC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10 de Octubre de 2016 </w:t>
                              </w:r>
                              <w:r w:rsidRPr="00FA0B1F">
                                <w:rPr>
                                  <w:rFonts w:ascii="Arial" w:eastAsia="Times New Roman" w:hAnsi="Arial" w:cs="Arial"/>
                                  <w:color w:val="000000"/>
                                  <w:sz w:val="17"/>
                                  <w:szCs w:val="17"/>
                                  <w:lang w:eastAsia="es-ES"/>
                                </w:rPr>
                                <w:t xml:space="preserve">Reunión GT Procesos 2016-3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10 de Octubre de 2016 </w:t>
                              </w:r>
                              <w:r w:rsidRPr="00FA0B1F">
                                <w:rPr>
                                  <w:rFonts w:ascii="Arial" w:eastAsia="Times New Roman" w:hAnsi="Arial" w:cs="Arial"/>
                                  <w:color w:val="000000"/>
                                  <w:sz w:val="17"/>
                                  <w:szCs w:val="17"/>
                                  <w:lang w:eastAsia="es-ES"/>
                                </w:rPr>
                                <w:t xml:space="preserve">Reunión GTE Seguridad 2016-3 (15:30)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11 de Octubre de 2016 </w:t>
                              </w:r>
                              <w:r w:rsidRPr="00FA0B1F">
                                <w:rPr>
                                  <w:rFonts w:ascii="Arial" w:eastAsia="Times New Roman" w:hAnsi="Arial" w:cs="Arial"/>
                                  <w:color w:val="000000"/>
                                  <w:sz w:val="17"/>
                                  <w:szCs w:val="17"/>
                                  <w:lang w:eastAsia="es-ES"/>
                                </w:rPr>
                                <w:t xml:space="preserve">Reunión GT Infraestructuras de Transporte 2016-3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24 de Octubre de 2016 </w:t>
                              </w:r>
                              <w:r w:rsidRPr="00FA0B1F">
                                <w:rPr>
                                  <w:rFonts w:ascii="Arial" w:eastAsia="Times New Roman" w:hAnsi="Arial" w:cs="Arial"/>
                                  <w:color w:val="000000"/>
                                  <w:sz w:val="17"/>
                                  <w:szCs w:val="17"/>
                                  <w:lang w:eastAsia="es-ES"/>
                                </w:rPr>
                                <w:t xml:space="preserve">Reunión GT Ciudad del Futuro 2016-2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25 de Octubre de 2016 </w:t>
                              </w:r>
                              <w:r w:rsidRPr="00FA0B1F">
                                <w:rPr>
                                  <w:rFonts w:ascii="Arial" w:eastAsia="Times New Roman" w:hAnsi="Arial" w:cs="Arial"/>
                                  <w:color w:val="000000"/>
                                  <w:sz w:val="17"/>
                                  <w:szCs w:val="17"/>
                                  <w:lang w:eastAsia="es-ES"/>
                                </w:rPr>
                                <w:t xml:space="preserve">Reunión GT Impulso a la Innovación 2016-3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25 de Octubre de 2016 </w:t>
                              </w:r>
                              <w:r w:rsidRPr="00FA0B1F">
                                <w:rPr>
                                  <w:rFonts w:ascii="Arial" w:eastAsia="Times New Roman" w:hAnsi="Arial" w:cs="Arial"/>
                                  <w:color w:val="000000"/>
                                  <w:sz w:val="17"/>
                                  <w:szCs w:val="17"/>
                                  <w:lang w:eastAsia="es-ES"/>
                                </w:rPr>
                                <w:t xml:space="preserve">Reunión GT Internacionalización de la I+D 2016-3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15 de Noviembre de 2016 </w:t>
                              </w:r>
                              <w:r w:rsidRPr="00FA0B1F">
                                <w:rPr>
                                  <w:rFonts w:ascii="Arial" w:eastAsia="Times New Roman" w:hAnsi="Arial" w:cs="Arial"/>
                                  <w:color w:val="000000"/>
                                  <w:sz w:val="17"/>
                                  <w:szCs w:val="17"/>
                                  <w:lang w:eastAsia="es-ES"/>
                                </w:rPr>
                                <w:t xml:space="preserve">12º Foro PTEC: I+D+i en los Procesos de Construcción </w:t>
                              </w:r>
                              <w:hyperlink r:id="rId35"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29 de Noviembre de 2016 </w:t>
                              </w:r>
                              <w:r w:rsidRPr="00FA0B1F">
                                <w:rPr>
                                  <w:rFonts w:ascii="Arial" w:eastAsia="Times New Roman" w:hAnsi="Arial" w:cs="Arial"/>
                                  <w:color w:val="000000"/>
                                  <w:sz w:val="17"/>
                                  <w:szCs w:val="17"/>
                                  <w:lang w:eastAsia="es-ES"/>
                                </w:rPr>
                                <w:t xml:space="preserve">Reunion CP PTEC 2016-3 </w:t>
                              </w:r>
                            </w:p>
                          </w:tc>
                        </w:tr>
                        <w:tr w:rsidR="00FA0B1F" w:rsidRPr="00FA0B1F" w:rsidTr="00F55739">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FA0B1F" w:rsidRPr="00FA0B1F" w:rsidRDefault="00FA0B1F" w:rsidP="00FA0B1F">
                              <w:pPr>
                                <w:spacing w:after="0" w:line="240" w:lineRule="auto"/>
                                <w:rPr>
                                  <w:rFonts w:ascii="Arial" w:eastAsia="Times New Roman" w:hAnsi="Arial" w:cs="Arial"/>
                                  <w:b/>
                                  <w:bCs/>
                                  <w:color w:val="FFFFFF"/>
                                  <w:sz w:val="26"/>
                                  <w:szCs w:val="26"/>
                                  <w:lang w:eastAsia="es-ES"/>
                                </w:rPr>
                              </w:pPr>
                              <w:r w:rsidRPr="00FA0B1F">
                                <w:rPr>
                                  <w:rFonts w:ascii="Arial" w:eastAsia="Times New Roman" w:hAnsi="Arial" w:cs="Arial"/>
                                  <w:b/>
                                  <w:bCs/>
                                  <w:color w:val="FFFFFF"/>
                                  <w:sz w:val="26"/>
                                  <w:szCs w:val="26"/>
                                  <w:lang w:eastAsia="es-ES"/>
                                </w:rPr>
                                <w:t xml:space="preserve">    EVENTOS NACIONALES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10 de Octubre de 2016 </w:t>
                              </w:r>
                              <w:r w:rsidRPr="00FA0B1F">
                                <w:rPr>
                                  <w:rFonts w:ascii="Arial" w:eastAsia="Times New Roman" w:hAnsi="Arial" w:cs="Arial"/>
                                  <w:color w:val="000000"/>
                                  <w:sz w:val="17"/>
                                  <w:szCs w:val="17"/>
                                  <w:lang w:eastAsia="es-ES"/>
                                </w:rPr>
                                <w:t xml:space="preserve">Cursos Avanzados Eduardo Torroja 2016 </w:t>
                              </w:r>
                              <w:hyperlink r:id="rId36"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rHeight w:val="180"/>
                            <w:tblCellSpacing w:w="0" w:type="dxa"/>
                          </w:trPr>
                          <w:tc>
                            <w:tcPr>
                              <w:tcW w:w="0" w:type="auto"/>
                              <w:tcBorders>
                                <w:top w:val="single" w:sz="12" w:space="0" w:color="000000"/>
                                <w:bottom w:val="single" w:sz="12" w:space="0" w:color="000000"/>
                              </w:tcBorders>
                              <w:shd w:val="clear" w:color="auto" w:fill="669900"/>
                              <w:vAlign w:val="center"/>
                              <w:hideMark/>
                            </w:tcPr>
                            <w:p w:rsidR="00FA0B1F" w:rsidRPr="00FA0B1F" w:rsidRDefault="00FA0B1F" w:rsidP="00FA0B1F">
                              <w:pPr>
                                <w:spacing w:after="0" w:line="240" w:lineRule="auto"/>
                                <w:rPr>
                                  <w:rFonts w:ascii="Arial" w:eastAsia="Times New Roman" w:hAnsi="Arial" w:cs="Arial"/>
                                  <w:b/>
                                  <w:bCs/>
                                  <w:color w:val="FFFFFF"/>
                                  <w:sz w:val="26"/>
                                  <w:szCs w:val="26"/>
                                  <w:lang w:eastAsia="es-ES"/>
                                </w:rPr>
                              </w:pPr>
                              <w:r w:rsidRPr="00FA0B1F">
                                <w:rPr>
                                  <w:rFonts w:ascii="Arial" w:eastAsia="Times New Roman" w:hAnsi="Arial" w:cs="Arial"/>
                                  <w:b/>
                                  <w:bCs/>
                                  <w:color w:val="FFFFFF"/>
                                  <w:sz w:val="26"/>
                                  <w:szCs w:val="26"/>
                                  <w:lang w:eastAsia="es-ES"/>
                                </w:rPr>
                                <w:lastRenderedPageBreak/>
                                <w:t xml:space="preserve">    EVENTOS INTERNACIONALES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13 de Octubre de 2016 </w:t>
                              </w:r>
                              <w:r w:rsidRPr="00FA0B1F">
                                <w:rPr>
                                  <w:rFonts w:ascii="Arial" w:eastAsia="Times New Roman" w:hAnsi="Arial" w:cs="Arial"/>
                                  <w:color w:val="000000"/>
                                  <w:sz w:val="17"/>
                                  <w:szCs w:val="17"/>
                                  <w:lang w:eastAsia="es-ES"/>
                                </w:rPr>
                                <w:t xml:space="preserve">Structural Applications on Fiber reinforced Concrete </w:t>
                              </w:r>
                              <w:hyperlink r:id="rId37"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14 de Octubre de 2016 </w:t>
                              </w:r>
                              <w:r w:rsidRPr="00FA0B1F">
                                <w:rPr>
                                  <w:rFonts w:ascii="Arial" w:eastAsia="Times New Roman" w:hAnsi="Arial" w:cs="Arial"/>
                                  <w:color w:val="000000"/>
                                  <w:sz w:val="17"/>
                                  <w:szCs w:val="17"/>
                                  <w:lang w:eastAsia="es-ES"/>
                                </w:rPr>
                                <w:t xml:space="preserve">Jornada de Presentación de Convocatorias cPPP EeB, FoF, SPIRE, EGVI 2017 </w:t>
                              </w:r>
                              <w:hyperlink r:id="rId38"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18 de Octubre de 2016 </w:t>
                              </w:r>
                              <w:r w:rsidRPr="00FA0B1F">
                                <w:rPr>
                                  <w:rFonts w:ascii="Arial" w:eastAsia="Times New Roman" w:hAnsi="Arial" w:cs="Arial"/>
                                  <w:color w:val="000000"/>
                                  <w:sz w:val="17"/>
                                  <w:szCs w:val="17"/>
                                  <w:lang w:eastAsia="es-ES"/>
                                </w:rPr>
                                <w:t xml:space="preserve">1st edition of the European Road Infrastructure Congress. </w:t>
                              </w:r>
                              <w:hyperlink r:id="rId39"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18 de Octubre de 2016 </w:t>
                              </w:r>
                              <w:r w:rsidRPr="00FA0B1F">
                                <w:rPr>
                                  <w:rFonts w:ascii="Arial" w:eastAsia="Times New Roman" w:hAnsi="Arial" w:cs="Arial"/>
                                  <w:color w:val="000000"/>
                                  <w:sz w:val="17"/>
                                  <w:szCs w:val="17"/>
                                  <w:lang w:eastAsia="es-ES"/>
                                </w:rPr>
                                <w:t xml:space="preserve">1st European Road Infrastructure Congress </w:t>
                              </w:r>
                              <w:hyperlink r:id="rId40"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26 de Octubre de 2016 </w:t>
                              </w:r>
                              <w:r w:rsidRPr="00FA0B1F">
                                <w:rPr>
                                  <w:rFonts w:ascii="Arial" w:eastAsia="Times New Roman" w:hAnsi="Arial" w:cs="Arial"/>
                                  <w:color w:val="000000"/>
                                  <w:sz w:val="17"/>
                                  <w:szCs w:val="17"/>
                                  <w:lang w:eastAsia="es-ES"/>
                                </w:rPr>
                                <w:t xml:space="preserve">International conference “Monitoring of the Construction Market” </w:t>
                              </w:r>
                              <w:hyperlink r:id="rId41"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10 de Noviembre de 2016 </w:t>
                              </w:r>
                              <w:r w:rsidRPr="00FA0B1F">
                                <w:rPr>
                                  <w:rFonts w:ascii="Arial" w:eastAsia="Times New Roman" w:hAnsi="Arial" w:cs="Arial"/>
                                  <w:color w:val="000000"/>
                                  <w:sz w:val="17"/>
                                  <w:szCs w:val="17"/>
                                  <w:lang w:eastAsia="es-ES"/>
                                </w:rPr>
                                <w:t xml:space="preserve">X edición de la Bienal de la Restauración y Gestión del Patrimonio AR&amp;PA 2016 </w:t>
                              </w:r>
                              <w:hyperlink r:id="rId42"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15 de Noviembre de 2016 </w:t>
                              </w:r>
                              <w:r w:rsidRPr="00FA0B1F">
                                <w:rPr>
                                  <w:rFonts w:ascii="Arial" w:eastAsia="Times New Roman" w:hAnsi="Arial" w:cs="Arial"/>
                                  <w:color w:val="000000"/>
                                  <w:sz w:val="17"/>
                                  <w:szCs w:val="17"/>
                                  <w:lang w:eastAsia="es-ES"/>
                                </w:rPr>
                                <w:t xml:space="preserve">Intermodal Europe 2016 </w:t>
                              </w:r>
                              <w:hyperlink r:id="rId43"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16 de Noviembre de 2016 </w:t>
                              </w:r>
                              <w:r w:rsidRPr="00FA0B1F">
                                <w:rPr>
                                  <w:rFonts w:ascii="Arial" w:eastAsia="Times New Roman" w:hAnsi="Arial" w:cs="Arial"/>
                                  <w:color w:val="000000"/>
                                  <w:sz w:val="17"/>
                                  <w:szCs w:val="17"/>
                                  <w:lang w:eastAsia="es-ES"/>
                                </w:rPr>
                                <w:t xml:space="preserve">9º Conferencia del Programa Marco de Investigación e Innovación de la Unión Europea en España, 'Fome </w:t>
                              </w:r>
                              <w:hyperlink r:id="rId44"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17 de Noviembre de 2016 </w:t>
                              </w:r>
                              <w:r w:rsidRPr="00FA0B1F">
                                <w:rPr>
                                  <w:rFonts w:ascii="Arial" w:eastAsia="Times New Roman" w:hAnsi="Arial" w:cs="Arial"/>
                                  <w:color w:val="000000"/>
                                  <w:sz w:val="17"/>
                                  <w:szCs w:val="17"/>
                                  <w:lang w:eastAsia="es-ES"/>
                                </w:rPr>
                                <w:t xml:space="preserve">ECTP Conference </w:t>
                              </w:r>
                              <w:hyperlink r:id="rId45"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nil"/>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18 de Noviembre de 2016 </w:t>
                              </w:r>
                              <w:r w:rsidRPr="00FA0B1F">
                                <w:rPr>
                                  <w:rFonts w:ascii="Arial" w:eastAsia="Times New Roman" w:hAnsi="Arial" w:cs="Arial"/>
                                  <w:color w:val="000000"/>
                                  <w:sz w:val="17"/>
                                  <w:szCs w:val="17"/>
                                  <w:lang w:eastAsia="es-ES"/>
                                </w:rPr>
                                <w:t xml:space="preserve">EeB-CA2 Matchmaking Event 'Energy-efficient Buildings' </w:t>
                              </w:r>
                              <w:hyperlink r:id="rId46"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r w:rsidR="00FA0B1F" w:rsidRPr="00FA0B1F" w:rsidTr="00F55739">
                          <w:trPr>
                            <w:tblCellSpacing w:w="0" w:type="dxa"/>
                          </w:trPr>
                          <w:tc>
                            <w:tcPr>
                              <w:tcW w:w="0" w:type="auto"/>
                              <w:tcBorders>
                                <w:top w:val="nil"/>
                                <w:left w:val="nil"/>
                                <w:bottom w:val="single" w:sz="6" w:space="0" w:color="AA0000"/>
                                <w:right w:val="nil"/>
                              </w:tcBorders>
                              <w:shd w:val="clear" w:color="auto" w:fill="FFFFFF"/>
                              <w:vAlign w:val="center"/>
                              <w:hideMark/>
                            </w:tcPr>
                            <w:p w:rsidR="00FA0B1F" w:rsidRPr="00FA0B1F" w:rsidRDefault="00FA0B1F" w:rsidP="00FA0B1F">
                              <w:pPr>
                                <w:spacing w:after="0" w:line="300" w:lineRule="auto"/>
                                <w:ind w:left="30" w:right="60"/>
                                <w:rPr>
                                  <w:rFonts w:ascii="Arial" w:eastAsia="Times New Roman" w:hAnsi="Arial" w:cs="Arial"/>
                                  <w:color w:val="000000"/>
                                  <w:sz w:val="17"/>
                                  <w:szCs w:val="17"/>
                                  <w:lang w:eastAsia="es-ES"/>
                                </w:rPr>
                              </w:pPr>
                              <w:r w:rsidRPr="00FA0B1F">
                                <w:rPr>
                                  <w:rFonts w:ascii="Arial" w:eastAsia="Times New Roman" w:hAnsi="Arial" w:cs="Arial"/>
                                  <w:b/>
                                  <w:bCs/>
                                  <w:color w:val="AA0000"/>
                                  <w:sz w:val="18"/>
                                  <w:szCs w:val="18"/>
                                  <w:lang w:eastAsia="es-ES"/>
                                </w:rPr>
                                <w:t xml:space="preserve">01 de Marzo de 2017 </w:t>
                              </w:r>
                              <w:r w:rsidRPr="00FA0B1F">
                                <w:rPr>
                                  <w:rFonts w:ascii="Arial" w:eastAsia="Times New Roman" w:hAnsi="Arial" w:cs="Arial"/>
                                  <w:color w:val="000000"/>
                                  <w:sz w:val="17"/>
                                  <w:szCs w:val="17"/>
                                  <w:lang w:eastAsia="es-ES"/>
                                </w:rPr>
                                <w:t xml:space="preserve">European Research Conference: Buildings </w:t>
                              </w:r>
                              <w:hyperlink r:id="rId47" w:history="1">
                                <w:r w:rsidRPr="00FA0B1F">
                                  <w:rPr>
                                    <w:rFonts w:ascii="Arial" w:eastAsia="Times New Roman" w:hAnsi="Arial" w:cs="Arial"/>
                                    <w:b/>
                                    <w:bCs/>
                                    <w:color w:val="000033"/>
                                    <w:sz w:val="15"/>
                                    <w:szCs w:val="15"/>
                                    <w:u w:val="single"/>
                                    <w:lang w:eastAsia="es-ES"/>
                                  </w:rPr>
                                  <w:t>Ver evento</w:t>
                                </w:r>
                              </w:hyperlink>
                              <w:r w:rsidRPr="00FA0B1F">
                                <w:rPr>
                                  <w:rFonts w:ascii="Arial" w:eastAsia="Times New Roman" w:hAnsi="Arial" w:cs="Arial"/>
                                  <w:color w:val="000000"/>
                                  <w:sz w:val="17"/>
                                  <w:szCs w:val="17"/>
                                  <w:lang w:eastAsia="es-ES"/>
                                </w:rPr>
                                <w:t xml:space="preserve"> </w:t>
                              </w: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100" w:type="pct"/>
                        <w:vMerge w:val="restart"/>
                        <w:tcBorders>
                          <w:top w:val="nil"/>
                          <w:left w:val="nil"/>
                          <w:bottom w:val="nil"/>
                          <w:right w:val="nil"/>
                        </w:tcBorders>
                        <w:hideMark/>
                      </w:tcPr>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lastRenderedPageBreak/>
                          <w:t> </w:t>
                        </w:r>
                      </w:p>
                    </w:tc>
                  </w:tr>
                  <w:tr w:rsidR="00FA0B1F" w:rsidRPr="00FA0B1F" w:rsidTr="00F55739">
                    <w:trPr>
                      <w:tblCellSpacing w:w="0" w:type="dxa"/>
                      <w:jc w:val="center"/>
                    </w:trPr>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c>
                      <w:tcPr>
                        <w:tcW w:w="0" w:type="auto"/>
                        <w:tcBorders>
                          <w:top w:val="nil"/>
                          <w:left w:val="nil"/>
                          <w:bottom w:val="nil"/>
                          <w:right w:val="nil"/>
                        </w:tcBorders>
                        <w:vAlign w:val="center"/>
                        <w:hideMark/>
                      </w:tcPr>
                      <w:p w:rsidR="00FA0B1F" w:rsidRPr="00FA0B1F" w:rsidRDefault="00FA0B1F" w:rsidP="00FA0B1F">
                        <w:pPr>
                          <w:spacing w:after="0" w:line="240" w:lineRule="auto"/>
                          <w:rPr>
                            <w:rFonts w:ascii="Times New Roman" w:eastAsia="Times New Roman" w:hAnsi="Times New Roman" w:cs="Times New Roman"/>
                            <w:sz w:val="20"/>
                            <w:szCs w:val="20"/>
                            <w:lang w:eastAsia="es-ES"/>
                          </w:rPr>
                        </w:pPr>
                      </w:p>
                    </w:tc>
                    <w:tc>
                      <w:tcPr>
                        <w:tcW w:w="0" w:type="auto"/>
                        <w:vMerge/>
                        <w:tcBorders>
                          <w:top w:val="nil"/>
                          <w:left w:val="nil"/>
                          <w:bottom w:val="nil"/>
                          <w:right w:val="nil"/>
                        </w:tcBorders>
                        <w:vAlign w:val="center"/>
                        <w:hideMark/>
                      </w:tcPr>
                      <w:p w:rsidR="00FA0B1F" w:rsidRPr="00FA0B1F" w:rsidRDefault="00FA0B1F" w:rsidP="00FA0B1F">
                        <w:pPr>
                          <w:spacing w:after="0" w:line="240" w:lineRule="auto"/>
                          <w:rPr>
                            <w:rFonts w:ascii="Arial" w:eastAsia="Times New Roman" w:hAnsi="Arial" w:cs="Arial"/>
                            <w:color w:val="666666"/>
                            <w:sz w:val="17"/>
                            <w:szCs w:val="17"/>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8310" w:type="dxa"/>
                  <w:tcBorders>
                    <w:top w:val="nil"/>
                    <w:left w:val="nil"/>
                    <w:bottom w:val="nil"/>
                    <w:right w:val="nil"/>
                  </w:tcBorders>
                  <w:vAlign w:val="center"/>
                  <w:hideMark/>
                </w:tcPr>
                <w:p w:rsidR="00FA0B1F" w:rsidRPr="00FA0B1F" w:rsidRDefault="00FA0B1F" w:rsidP="00FA0B1F">
                  <w:pPr>
                    <w:spacing w:after="0" w:line="240" w:lineRule="auto"/>
                    <w:rPr>
                      <w:rFonts w:ascii="Times New Roman" w:eastAsia="Times New Roman" w:hAnsi="Times New Roman" w:cs="Times New Roman"/>
                      <w:sz w:val="20"/>
                      <w:szCs w:val="20"/>
                      <w:lang w:eastAsia="es-ES"/>
                    </w:rPr>
                  </w:pPr>
                </w:p>
              </w:tc>
            </w:tr>
          </w:tbl>
          <w:p w:rsidR="00FA0B1F" w:rsidRPr="00FA0B1F" w:rsidRDefault="00FA0B1F" w:rsidP="00FA0B1F">
            <w:pPr>
              <w:spacing w:after="0" w:line="240" w:lineRule="auto"/>
              <w:rPr>
                <w:rFonts w:ascii="Arial" w:eastAsia="Times New Roman" w:hAnsi="Arial" w:cs="Arial"/>
                <w:color w:val="666666"/>
                <w:sz w:val="17"/>
                <w:szCs w:val="17"/>
                <w:lang w:eastAsia="es-ES"/>
              </w:rPr>
            </w:pPr>
          </w:p>
        </w:tc>
      </w:tr>
      <w:tr w:rsidR="00FA0B1F" w:rsidRPr="00FA0B1F" w:rsidTr="00F55739">
        <w:trPr>
          <w:tblCellSpacing w:w="0" w:type="dxa"/>
          <w:jc w:val="center"/>
        </w:trPr>
        <w:tc>
          <w:tcPr>
            <w:tcW w:w="0" w:type="auto"/>
            <w:tcBorders>
              <w:bottom w:val="single" w:sz="6" w:space="0" w:color="666666"/>
            </w:tcBorders>
            <w:shd w:val="clear" w:color="auto" w:fill="FFFFFF"/>
            <w:hideMark/>
          </w:tcPr>
          <w:p w:rsidR="00FA0B1F" w:rsidRPr="00FA0B1F" w:rsidRDefault="00FA0B1F" w:rsidP="00FA0B1F">
            <w:pPr>
              <w:spacing w:after="0" w:line="240" w:lineRule="auto"/>
              <w:rPr>
                <w:rFonts w:ascii="Arial" w:eastAsia="Times New Roman" w:hAnsi="Arial" w:cs="Arial"/>
                <w:color w:val="666666"/>
                <w:sz w:val="17"/>
                <w:szCs w:val="17"/>
                <w:lang w:eastAsia="es-ES"/>
              </w:rPr>
            </w:pPr>
            <w:r w:rsidRPr="00FA0B1F">
              <w:rPr>
                <w:rFonts w:ascii="Arial" w:eastAsia="Times New Roman" w:hAnsi="Arial" w:cs="Arial"/>
                <w:noProof/>
                <w:color w:val="666666"/>
                <w:sz w:val="17"/>
                <w:szCs w:val="17"/>
                <w:lang w:eastAsia="es-ES"/>
              </w:rPr>
              <w:lastRenderedPageBreak/>
              <w:drawing>
                <wp:inline distT="0" distB="0" distL="0" distR="0">
                  <wp:extent cx="5227320" cy="495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227320" cy="495300"/>
                          </a:xfrm>
                          <a:prstGeom prst="rect">
                            <a:avLst/>
                          </a:prstGeom>
                          <a:noFill/>
                          <a:ln>
                            <a:noFill/>
                          </a:ln>
                        </pic:spPr>
                      </pic:pic>
                    </a:graphicData>
                  </a:graphic>
                </wp:inline>
              </w:drawing>
            </w:r>
          </w:p>
        </w:tc>
      </w:tr>
    </w:tbl>
    <w:p w:rsidR="00FA0B1F" w:rsidRPr="00FA0B1F" w:rsidRDefault="00FA0B1F" w:rsidP="00FA0B1F">
      <w:pPr>
        <w:spacing w:after="0" w:line="240" w:lineRule="auto"/>
        <w:jc w:val="center"/>
        <w:rPr>
          <w:rFonts w:ascii="Arial" w:eastAsia="Times New Roman" w:hAnsi="Arial" w:cs="Arial"/>
          <w:color w:val="666666"/>
          <w:sz w:val="17"/>
          <w:szCs w:val="17"/>
          <w:lang w:eastAsia="es-ES"/>
        </w:rPr>
      </w:pPr>
      <w:r w:rsidRPr="00FA0B1F">
        <w:rPr>
          <w:rFonts w:ascii="Arial" w:eastAsia="Times New Roman" w:hAnsi="Arial" w:cs="Arial"/>
          <w:color w:val="666666"/>
          <w:sz w:val="17"/>
          <w:szCs w:val="17"/>
          <w:lang w:eastAsia="es-ES"/>
        </w:rPr>
        <w:br/>
      </w:r>
      <w:r w:rsidRPr="00FA0B1F">
        <w:rPr>
          <w:rFonts w:ascii="Arial" w:eastAsia="Times New Roman" w:hAnsi="Arial" w:cs="Arial"/>
          <w:color w:val="666666"/>
          <w:sz w:val="15"/>
          <w:szCs w:val="15"/>
          <w:lang w:eastAsia="es-ES"/>
        </w:rPr>
        <w:t xml:space="preserve">Recibe este mensaje porque está dado de alta en </w:t>
      </w:r>
      <w:hyperlink r:id="rId49" w:tgtFrame="_blank" w:history="1">
        <w:r w:rsidRPr="00FA0B1F">
          <w:rPr>
            <w:rFonts w:ascii="Arial" w:eastAsia="Times New Roman" w:hAnsi="Arial" w:cs="Arial"/>
            <w:color w:val="666666"/>
            <w:sz w:val="17"/>
            <w:szCs w:val="17"/>
            <w:u w:val="single"/>
            <w:lang w:eastAsia="es-ES"/>
          </w:rPr>
          <w:t>PLATAFORMAPTEC.com</w:t>
        </w:r>
      </w:hyperlink>
      <w:r w:rsidRPr="00FA0B1F">
        <w:rPr>
          <w:rFonts w:ascii="Arial" w:eastAsia="Times New Roman" w:hAnsi="Arial" w:cs="Arial"/>
          <w:color w:val="666666"/>
          <w:sz w:val="15"/>
          <w:szCs w:val="15"/>
          <w:lang w:eastAsia="es-ES"/>
        </w:rPr>
        <w:t xml:space="preserve">. </w:t>
      </w:r>
      <w:r w:rsidRPr="00FA0B1F">
        <w:rPr>
          <w:rFonts w:ascii="Arial" w:eastAsia="Times New Roman" w:hAnsi="Arial" w:cs="Arial"/>
          <w:color w:val="666666"/>
          <w:sz w:val="15"/>
          <w:szCs w:val="15"/>
          <w:lang w:eastAsia="es-ES"/>
        </w:rPr>
        <w:br/>
        <w:t xml:space="preserve">Si no desea recibir más mensajes como éste puede darse de baja desde el menú de usuario. </w:t>
      </w:r>
    </w:p>
    <w:p w:rsidR="00FA0B1F" w:rsidRPr="00FA0B1F" w:rsidRDefault="00FA0B1F" w:rsidP="00FA0B1F">
      <w:pPr>
        <w:spacing w:after="0" w:line="240" w:lineRule="auto"/>
        <w:rPr>
          <w:rFonts w:ascii="Times New Roman" w:eastAsia="Times New Roman" w:hAnsi="Times New Roman" w:cs="Times New Roman"/>
          <w:sz w:val="24"/>
          <w:szCs w:val="24"/>
          <w:lang w:eastAsia="es-ES"/>
        </w:rPr>
      </w:pPr>
    </w:p>
    <w:p w:rsidR="0022287D" w:rsidRDefault="0022287D">
      <w:bookmarkStart w:id="0" w:name="_GoBack"/>
      <w:bookmarkEnd w:id="0"/>
    </w:p>
    <w:sectPr w:rsidR="0022287D" w:rsidSect="00763FAC">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1F"/>
    <w:rsid w:val="0022287D"/>
    <w:rsid w:val="00FA0B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EDB0E4-C2E0-4A12-8FD2-6D5096D01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A0B1F"/>
    <w:rPr>
      <w:rFonts w:ascii="Arial" w:hAnsi="Arial" w:cs="Arial"/>
      <w:color w:val="666666"/>
      <w:sz w:val="17"/>
      <w:szCs w:val="17"/>
      <w:u w:val="single"/>
    </w:rPr>
  </w:style>
  <w:style w:type="paragraph" w:styleId="NormalWeb">
    <w:name w:val="Normal (Web)"/>
    <w:basedOn w:val="Normal"/>
    <w:uiPriority w:val="99"/>
    <w:semiHidden/>
    <w:unhideWhenUsed/>
    <w:rsid w:val="00FA0B1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www.plataformaptec.com/imagenes/2d79da9bc799194197cde1205c8ca30a.jpg" TargetMode="External"/><Relationship Id="rId18" Type="http://schemas.openxmlformats.org/officeDocument/2006/relationships/hyperlink" Target="http://www.plataformaptec.es/ver-noticia.php?id=3521" TargetMode="External"/><Relationship Id="rId26" Type="http://schemas.openxmlformats.org/officeDocument/2006/relationships/hyperlink" Target="http://www.plataformaptec.es/ver-noticia.php?id=3525" TargetMode="External"/><Relationship Id="rId39" Type="http://schemas.openxmlformats.org/officeDocument/2006/relationships/hyperlink" Target="http://www.plataformaptec.es/ver-evento.php?id=763" TargetMode="External"/><Relationship Id="rId3" Type="http://schemas.openxmlformats.org/officeDocument/2006/relationships/webSettings" Target="webSettings.xml"/><Relationship Id="rId21" Type="http://schemas.openxmlformats.org/officeDocument/2006/relationships/image" Target="http://www.plataformaptec.com/imagenes/96b18b5aed565a62b4c01f8d9623178c.jpg" TargetMode="External"/><Relationship Id="rId34" Type="http://schemas.openxmlformats.org/officeDocument/2006/relationships/hyperlink" Target="http://www.plataformaptec.es/ver-noticia.php?id=3529" TargetMode="External"/><Relationship Id="rId42" Type="http://schemas.openxmlformats.org/officeDocument/2006/relationships/hyperlink" Target="http://www.plataformaptec.es/ver-evento.php?id=835" TargetMode="External"/><Relationship Id="rId47" Type="http://schemas.openxmlformats.org/officeDocument/2006/relationships/hyperlink" Target="http://www.plataformaptec.es/ver-evento.php?id=839" TargetMode="External"/><Relationship Id="rId50" Type="http://schemas.openxmlformats.org/officeDocument/2006/relationships/fontTable" Target="fontTable.xml"/><Relationship Id="rId7" Type="http://schemas.openxmlformats.org/officeDocument/2006/relationships/image" Target="http://www.plataformaptec.com/imagenes/a2ca6298fd3e3639647a48ee144c970d.jpg" TargetMode="External"/><Relationship Id="rId12" Type="http://schemas.openxmlformats.org/officeDocument/2006/relationships/hyperlink" Target="http://www.plataformaptec.es/ver-noticia.php?id=3532" TargetMode="External"/><Relationship Id="rId17" Type="http://schemas.openxmlformats.org/officeDocument/2006/relationships/image" Target="http://www.plataformaptec.com/imagenes/0ba12d00b9eb7f115d301f697928b988.jpg" TargetMode="External"/><Relationship Id="rId25" Type="http://schemas.openxmlformats.org/officeDocument/2006/relationships/image" Target="http://www.plataformaptec.com/imagenes/92ed6671c27b3d9244e02a876215eedd.jpg" TargetMode="External"/><Relationship Id="rId33" Type="http://schemas.openxmlformats.org/officeDocument/2006/relationships/image" Target="http://www.plataformaptec.com/imagenes/b5c0b21e6240c0def80cc32818b05247.jpg" TargetMode="External"/><Relationship Id="rId38" Type="http://schemas.openxmlformats.org/officeDocument/2006/relationships/hyperlink" Target="http://www.plataformaptec.es/ver-evento.php?id=824" TargetMode="External"/><Relationship Id="rId46" Type="http://schemas.openxmlformats.org/officeDocument/2006/relationships/hyperlink" Target="http://www.plataformaptec.es/ver-evento.php?id=838" TargetMode="External"/><Relationship Id="rId2" Type="http://schemas.openxmlformats.org/officeDocument/2006/relationships/settings" Target="settings.xml"/><Relationship Id="rId16" Type="http://schemas.openxmlformats.org/officeDocument/2006/relationships/hyperlink" Target="http://www.plataformaptec.es/ver-noticia.php?id=3520" TargetMode="External"/><Relationship Id="rId20" Type="http://schemas.openxmlformats.org/officeDocument/2006/relationships/hyperlink" Target="http://www.plataformaptec.es/ver-noticia.php?id=3523" TargetMode="External"/><Relationship Id="rId29" Type="http://schemas.openxmlformats.org/officeDocument/2006/relationships/image" Target="http://www.plataformaptec.com/imagenes/2ceaff71a32d3cab1cd85d622695262c.gif" TargetMode="External"/><Relationship Id="rId41" Type="http://schemas.openxmlformats.org/officeDocument/2006/relationships/hyperlink" Target="http://www.plataformaptec.es/ver-evento.php?id=833" TargetMode="External"/><Relationship Id="rId1" Type="http://schemas.openxmlformats.org/officeDocument/2006/relationships/styles" Target="styles.xml"/><Relationship Id="rId6" Type="http://schemas.openxmlformats.org/officeDocument/2006/relationships/hyperlink" Target="http://www.plataformaptec.es/ver-noticia.php?id=3530" TargetMode="External"/><Relationship Id="rId11" Type="http://schemas.openxmlformats.org/officeDocument/2006/relationships/image" Target="http://www.plataformaptec.com/imagenes/847a99b411dc10d4c9525804b086c870.png" TargetMode="External"/><Relationship Id="rId24" Type="http://schemas.openxmlformats.org/officeDocument/2006/relationships/hyperlink" Target="http://www.plataformaptec.es/ver-noticia.php?id=3524" TargetMode="External"/><Relationship Id="rId32" Type="http://schemas.openxmlformats.org/officeDocument/2006/relationships/hyperlink" Target="http://www.plataformaptec.es/ver-noticia.php?id=3528" TargetMode="External"/><Relationship Id="rId37" Type="http://schemas.openxmlformats.org/officeDocument/2006/relationships/hyperlink" Target="http://www.plataformaptec.es/ver-evento.php?id=829" TargetMode="External"/><Relationship Id="rId40" Type="http://schemas.openxmlformats.org/officeDocument/2006/relationships/hyperlink" Target="http://www.plataformaptec.es/ver-evento.php?id=836" TargetMode="External"/><Relationship Id="rId45" Type="http://schemas.openxmlformats.org/officeDocument/2006/relationships/hyperlink" Target="http://www.plataformaptec.es/ver-evento.php?id=834" TargetMode="External"/><Relationship Id="rId5" Type="http://schemas.openxmlformats.org/officeDocument/2006/relationships/image" Target="http://www.plataformaptec.com/imagenes/f45f43a10bf0c659abb724aabebee45d.png" TargetMode="External"/><Relationship Id="rId15" Type="http://schemas.openxmlformats.org/officeDocument/2006/relationships/image" Target="http://www.plataformaptec.com/imagenes/0ac3aa15c377302e4c6bd435612b696e.jpg" TargetMode="External"/><Relationship Id="rId23" Type="http://schemas.openxmlformats.org/officeDocument/2006/relationships/image" Target="http://www.plataformaptec.com/imagenes/322332682c401ff525aae763589aeeb1.gif" TargetMode="External"/><Relationship Id="rId28" Type="http://schemas.openxmlformats.org/officeDocument/2006/relationships/hyperlink" Target="http://www.plataformaptec.es/ver-noticia.php?id=3526" TargetMode="External"/><Relationship Id="rId36" Type="http://schemas.openxmlformats.org/officeDocument/2006/relationships/hyperlink" Target="http://www.plataformaptec.es/ver-evento.php?id=831" TargetMode="External"/><Relationship Id="rId49" Type="http://schemas.openxmlformats.org/officeDocument/2006/relationships/hyperlink" Target="http://www.plataformaptec.com" TargetMode="External"/><Relationship Id="rId10" Type="http://schemas.openxmlformats.org/officeDocument/2006/relationships/hyperlink" Target="http://www.plataformaptec.es/ver-noticia.php?id=3531" TargetMode="External"/><Relationship Id="rId19" Type="http://schemas.openxmlformats.org/officeDocument/2006/relationships/image" Target="http://www.plataformaptec.com/imagenes/ede2bb65df169231f9d5993506a73181.jpg" TargetMode="External"/><Relationship Id="rId31" Type="http://schemas.openxmlformats.org/officeDocument/2006/relationships/image" Target="http://www.plataformaptec.com/imagenes/8bdb376a3c1240fb088bd4cd950ed283.gif" TargetMode="External"/><Relationship Id="rId44" Type="http://schemas.openxmlformats.org/officeDocument/2006/relationships/hyperlink" Target="http://www.plataformaptec.es/ver-evento.php?id=840" TargetMode="External"/><Relationship Id="rId4" Type="http://schemas.openxmlformats.org/officeDocument/2006/relationships/image" Target="media/image1.jpeg"/><Relationship Id="rId9" Type="http://schemas.openxmlformats.org/officeDocument/2006/relationships/image" Target="http://www.plataformaptec.com/imagenes/ddacab4e9cb1921d70062244d37a20c2.jpg" TargetMode="External"/><Relationship Id="rId14" Type="http://schemas.openxmlformats.org/officeDocument/2006/relationships/hyperlink" Target="http://www.plataformaptec.es/ver-noticia.php?id=3519" TargetMode="External"/><Relationship Id="rId22" Type="http://schemas.openxmlformats.org/officeDocument/2006/relationships/hyperlink" Target="http://www.plataformaptec.es/ver-noticia.php?id=3522" TargetMode="External"/><Relationship Id="rId27" Type="http://schemas.openxmlformats.org/officeDocument/2006/relationships/image" Target="http://www.plataformaptec.com/imagenes/aa84fa39e8bb432975e7dc6a4fd3462b.jpg" TargetMode="External"/><Relationship Id="rId30" Type="http://schemas.openxmlformats.org/officeDocument/2006/relationships/hyperlink" Target="http://www.plataformaptec.es/ver-noticia.php?id=3527" TargetMode="External"/><Relationship Id="rId35" Type="http://schemas.openxmlformats.org/officeDocument/2006/relationships/hyperlink" Target="http://www.plataformaptec.es/ver-evento.php?id=815" TargetMode="External"/><Relationship Id="rId43" Type="http://schemas.openxmlformats.org/officeDocument/2006/relationships/hyperlink" Target="http://www.plataformaptec.es/ver-evento.php?id=837" TargetMode="External"/><Relationship Id="rId48" Type="http://schemas.openxmlformats.org/officeDocument/2006/relationships/image" Target="media/image2.png"/><Relationship Id="rId8" Type="http://schemas.openxmlformats.org/officeDocument/2006/relationships/hyperlink" Target="http://www.plataformaptec.es/ver-noticia.php?id=3481" TargetMode="External"/><Relationship Id="rId5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1722</Words>
  <Characters>9474</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Serrano</dc:creator>
  <cp:keywords/>
  <dc:description/>
  <cp:lastModifiedBy>Ana Serrano</cp:lastModifiedBy>
  <cp:revision>1</cp:revision>
  <dcterms:created xsi:type="dcterms:W3CDTF">2016-10-10T08:58:00Z</dcterms:created>
  <dcterms:modified xsi:type="dcterms:W3CDTF">2016-10-10T08:59:00Z</dcterms:modified>
</cp:coreProperties>
</file>