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640E2A" w:rsidRPr="00640E2A" w:rsidTr="004543E7">
        <w:trPr>
          <w:tblCellSpacing w:w="0" w:type="dxa"/>
          <w:jc w:val="center"/>
        </w:trPr>
        <w:tc>
          <w:tcPr>
            <w:tcW w:w="0" w:type="auto"/>
            <w:tcBorders>
              <w:top w:val="single" w:sz="6" w:space="0" w:color="666666"/>
            </w:tcBorders>
            <w:shd w:val="clear" w:color="auto" w:fill="FFFFFF"/>
            <w:hideMark/>
          </w:tcPr>
          <w:p w:rsidR="00640E2A" w:rsidRPr="00640E2A" w:rsidRDefault="00640E2A" w:rsidP="00640E2A">
            <w:pPr>
              <w:spacing w:after="0" w:line="240" w:lineRule="auto"/>
              <w:rPr>
                <w:rFonts w:ascii="Arial" w:eastAsia="Times New Roman" w:hAnsi="Arial" w:cs="Arial"/>
                <w:color w:val="666666"/>
                <w:sz w:val="17"/>
                <w:szCs w:val="17"/>
                <w:lang w:eastAsia="es-ES"/>
              </w:rPr>
            </w:pPr>
            <w:r w:rsidRPr="00640E2A">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640E2A" w:rsidRPr="00640E2A" w:rsidTr="004543E7">
        <w:trPr>
          <w:tblCellSpacing w:w="0" w:type="dxa"/>
          <w:jc w:val="center"/>
        </w:trPr>
        <w:tc>
          <w:tcPr>
            <w:tcW w:w="0" w:type="auto"/>
            <w:shd w:val="clear" w:color="auto" w:fill="FFFFFF"/>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640E2A" w:rsidRPr="00640E2A" w:rsidTr="004543E7">
              <w:trPr>
                <w:trHeight w:val="180"/>
                <w:tblCellSpacing w:w="0" w:type="dxa"/>
                <w:jc w:val="center"/>
              </w:trPr>
              <w:tc>
                <w:tcPr>
                  <w:tcW w:w="0" w:type="auto"/>
                  <w:tcBorders>
                    <w:top w:val="nil"/>
                    <w:left w:val="nil"/>
                    <w:bottom w:val="nil"/>
                    <w:right w:val="nil"/>
                  </w:tcBorders>
                  <w:vAlign w:val="center"/>
                  <w:hideMark/>
                </w:tcPr>
                <w:p w:rsidR="00640E2A" w:rsidRPr="00640E2A" w:rsidRDefault="00640E2A" w:rsidP="00640E2A">
                  <w:pPr>
                    <w:spacing w:after="0" w:line="264" w:lineRule="auto"/>
                    <w:ind w:left="30"/>
                    <w:rPr>
                      <w:rFonts w:ascii="Arial" w:eastAsia="Times New Roman" w:hAnsi="Arial" w:cs="Arial"/>
                      <w:b/>
                      <w:bCs/>
                      <w:color w:val="0064AF"/>
                      <w:sz w:val="30"/>
                      <w:szCs w:val="30"/>
                      <w:lang w:eastAsia="es-ES"/>
                    </w:rPr>
                  </w:pPr>
                  <w:r w:rsidRPr="00640E2A">
                    <w:rPr>
                      <w:rFonts w:ascii="Arial" w:eastAsia="Times New Roman" w:hAnsi="Arial" w:cs="Arial"/>
                      <w:b/>
                      <w:bCs/>
                      <w:color w:val="0064AF"/>
                      <w:sz w:val="30"/>
                      <w:szCs w:val="30"/>
                      <w:lang w:eastAsia="es-ES"/>
                    </w:rPr>
                    <w:br/>
                    <w:t>Últimas Noticias</w:t>
                  </w:r>
                </w:p>
              </w:tc>
            </w:tr>
            <w:tr w:rsidR="00640E2A" w:rsidRPr="00640E2A" w:rsidTr="004543E7">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40E2A" w:rsidRPr="00640E2A" w:rsidRDefault="00640E2A" w:rsidP="00640E2A">
                  <w:pPr>
                    <w:spacing w:after="0" w:line="240" w:lineRule="auto"/>
                    <w:rPr>
                      <w:rFonts w:ascii="Arial" w:eastAsia="Times New Roman" w:hAnsi="Arial" w:cs="Arial"/>
                      <w:b/>
                      <w:bCs/>
                      <w:color w:val="FFFFFF"/>
                      <w:sz w:val="26"/>
                      <w:szCs w:val="26"/>
                      <w:lang w:eastAsia="es-ES"/>
                    </w:rPr>
                  </w:pPr>
                  <w:r w:rsidRPr="00640E2A">
                    <w:rPr>
                      <w:rFonts w:ascii="Arial" w:eastAsia="Times New Roman" w:hAnsi="Arial" w:cs="Arial"/>
                      <w:b/>
                      <w:bCs/>
                      <w:color w:val="FFFFFF"/>
                      <w:sz w:val="26"/>
                      <w:szCs w:val="26"/>
                      <w:lang w:eastAsia="es-ES"/>
                    </w:rPr>
                    <w:t>    NOTICIAS DE LA PTEC</w:t>
                  </w: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 xml:space="preserve">Boletín PTEC 05/12/2016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3" name="Imagen 23" descr="Boletín PTEC 05/12/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05/12/2016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La Comisión Permanente de PTEC ha celebrado una reunión el 29 de noviembre para revisar el informe de las actividades llevadas a cabo por PTEC en 2016 y la propuesta de actividades para el 2017. Este informe será presentado al Patronato FPTEC en su próxima reunión del 12 de diciembre. Además, el Dir...</w:t>
                        </w:r>
                        <w:hyperlink r:id="rId6"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Convocatorias de proyectos de I+D+i</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22" name="Imagen 22"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Participation of PTEC at ECTP Steering Committee meeting (Brussels, Dec. 1st, 2016)</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69265"/>
                              <wp:effectExtent l="0" t="0" r="0" b="6985"/>
                              <wp:wrapSquare wrapText="bothSides"/>
                              <wp:docPr id="21" name="Imagen 21" descr="Participation of PTEC at ECTP Steering Committee meeting (Brussels, Dec. 1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icipation of PTEC at ECTP Steering Committee meeting (Brussels, Dec. 1st, 201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 xml:space="preserve">Jesús Rodríguez, PTEC managing director, participated at the ECTP Steering Committee meeting (Brussels, December 1st, 2016) representing the network of National Construction Technology Platforms (NTPs) in different European countries. Several items were commented on ECTP vision and position paper, preliminary results from ECTP conference, activities of ECTP committees (Ener... </w:t>
                        </w:r>
                        <w:hyperlink r:id="rId10"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Segunda sesión del 12º Foro PTEC (Sevilla, 15/11/2016)</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709930"/>
                              <wp:effectExtent l="0" t="0" r="0" b="13970"/>
                              <wp:wrapSquare wrapText="bothSides"/>
                              <wp:docPr id="20" name="Imagen 20" descr="Segunda sesión del 12º Foro PTEC (Sevilla, 15/11/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gunda sesión del 12º Foro PTEC (Sevilla, 15/11/20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 xml:space="preserve">La segunda sesión del #12ForoPTEC se orientó a los nuevos sistemas de ayuda en los procesos de construcción. Estuvo presidida por José Francisco Pérez Moreno, Director General de AOPA, Junta de Andalucía, acompañado porJesús Rodríguez, Director Gerente de PTEC. En primer lugar, se trataron temas relacionados con el uso de sistemas Aéreos No Tripulados en la construcción de ... </w:t>
                        </w:r>
                        <w:hyperlink r:id="rId12"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Reunión de la Comisión Permanente de la PTEC</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9" name="Imagen 19" descr="Reunión de la Comisión Permanent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unión de la Comisión Permanente de la PTEC"/>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El 29 de noviembre se celebró la reunión de la Comisión Permanente de PTEC en la que se revisó el informe de las actividades de PTEC llevadas a cabo en el año 2016 y las previstas para el año 2017. Entre otros temas, se revisaron tres documentos PTEC:</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xml:space="preserve">- “Oportunidades para la I+D+i internacional en el sector de la construcción fuera del programa H2020” (Life,... </w:t>
                        </w:r>
                        <w:hyperlink r:id="rId14"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Asamblea PTEC 2016</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8" name="Imagen 18" descr="Asamblea PTEC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amblea PTEC 2016"/>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La Plataforma Tecnológica Española de la Construcción PTEC celebrará su asamblea anual el lunes 12 de diciembre a las 13:00 en el IETcc, tras la celebración de la reunión del Patronato de la Fundación PTEC. Durante esta Asamblea, se informará a los miembros de PTEC de las actividades llevadas a cabo durante el año 2016 y las previstas para el año 2017.</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xml:space="preserve">Los miembros de la ... </w:t>
                        </w:r>
                        <w:hyperlink r:id="rId16"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Nuevo proyecto CIEN del sector de construcción</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157480"/>
                              <wp:effectExtent l="0" t="0" r="0" b="13970"/>
                              <wp:wrapSquare wrapText="bothSides"/>
                              <wp:docPr id="17" name="Imagen 17" descr="Nuevo proyecto CIEN del sector de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evo proyecto CIEN del sector de construcció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El pasado 30 de noviembre CDTI publico la resolución de la pasada convocatoria de proyecto CIEN.</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En esta convocatoria se ha aprobado el proyecto Robótica autónoma para inspección y evaluación de edificios existentes, con tecnología BIM (ROBIM)</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xml:space="preserve">En el proyecto, de cuatro años de duración, participan entre otros los miembros de la PTEC FCC, GEOCISA, EUROESTUDIOS, UPM, IRP-... </w:t>
                        </w:r>
                        <w:hyperlink r:id="rId18"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Presentaciones de Grupos de investigación de la Universidad de Oviedo</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662305"/>
                              <wp:effectExtent l="0" t="0" r="0" b="4445"/>
                              <wp:wrapSquare wrapText="bothSides"/>
                              <wp:docPr id="16" name="Imagen 16" descr="Presentaciones de Grupos de investigación de la Universidad de Ov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entaciones de Grupos de investigación de la Universidad de Oviedo"/>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Se incluyen dos presentaciones de las que se realizaron por grupos de investigación de la Universidad de Oviedo durante la visita del Director Gerente de PTEC a esta universidad llevada a cabo el 24 de noviembre:</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Geomática y computación gráfica. GEOGRAPH</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·Ingeniería de la gestión del agua. Lluvia e infraestructura verde</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Raw Materials</w:t>
                        </w:r>
                        <w:r w:rsidRPr="00640E2A">
                          <w:rPr>
                            <w:rFonts w:ascii="Arial" w:eastAsia="Times New Roman" w:hAnsi="Arial" w:cs="Arial"/>
                            <w:color w:val="000000"/>
                            <w:sz w:val="17"/>
                            <w:szCs w:val="17"/>
                            <w:lang w:eastAsia="es-ES"/>
                          </w:rPr>
                          <w:br/>
                        </w:r>
                        <w:hyperlink r:id="rId20"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Presentación video despliegue proyecto AURORA en el que participa SACYR</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393065"/>
                              <wp:effectExtent l="0" t="0" r="0" b="6985"/>
                              <wp:wrapSquare wrapText="bothSides"/>
                              <wp:docPr id="15" name="Imagen 15" descr="Presentación video despliegue proyecto AURORA en el que participa SAC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entación video despliegue proyecto AURORA en el que participa SACYR"/>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El pasado 18 noviembre, se realizaron las pruebas relativas al primer despliegue mecánico completo del sistema AURORA en los terrenos del recinto ferial, cedidos por el Ayuntamiento de San Juan del Puerto (Huelva).</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xml:space="preserve">AURORA, se enmarca dentro de un proyecto de I+D financiado por CDTI a través de programa </w:t>
                        </w:r>
                        <w:r w:rsidRPr="00640E2A">
                          <w:rPr>
                            <w:rFonts w:ascii="Arial" w:eastAsia="Times New Roman" w:hAnsi="Arial" w:cs="Arial"/>
                            <w:color w:val="000000"/>
                            <w:sz w:val="17"/>
                            <w:szCs w:val="17"/>
                            <w:lang w:eastAsia="es-ES"/>
                          </w:rPr>
                          <w:lastRenderedPageBreak/>
                          <w:t xml:space="preserve">FEDER INNTERCONECTA 2016, consistente en el desarrollo de una unidad m... </w:t>
                        </w:r>
                        <w:hyperlink r:id="rId22"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Traviesas de vías de ferrocarril viajan desde Arabia Saudí a la U de Cantabria para sus ensayos de homologación</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610870"/>
                              <wp:effectExtent l="0" t="0" r="0" b="17780"/>
                              <wp:wrapSquare wrapText="bothSides"/>
                              <wp:docPr id="14" name="Imagen 14" descr="Traviesas de vías de ferrocarril viajan desde Arabia Saudí a la U de Cantabria para sus ensayos de homolo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viesas de vías de ferrocarril viajan desde Arabia Saudí a la U de Cantabria para sus ensayos de homologación"/>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Al Laboratorio de la División de Ciencia e Ingeniería de los Materiales (LADICIM) de la Escuela Técnica Superior de Ingenieros de Caminos, Canales y Puertos de la Universidad de Cantabria (UC) llegan habitualmente traviesas de tren que viajan desde puntos de todo el mundo para realizar ensayos de homologación técnico</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xml:space="preserve">Precisamente, representantes de empresas ferroviarias,... </w:t>
                        </w:r>
                        <w:hyperlink r:id="rId24"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FERROVIAL y COMSA desarrollan el proyecto S-CODE, proyecto de I+D financiado por la Comisión Europea en el marco del Programa Horizon 2020 y Shift2Rail Joint Undertaking</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3" name="Imagen 13" descr="FERROVIAL y COMSA  desarrollan el proyecto S-CODE, proyecto de I+D financiado por la Comisión Europea en el marco del Programa Horizon 2020 y Shift2Rail Joint Under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RROVIAL y COMSA  desarrollan el proyecto S-CODE, proyecto de I+D financiado por la Comisión Europea en el marco del Programa Horizon 2020 y Shift2Rail Joint Undertaki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 xml:space="preserve">El proyecto S-CODE (Switch and Crossing Optimal Design and Evaluation) corresponde a un proyecto de I+D que incluye a empresas, universidades y otros organismos de cuatro países europeos*. Está financiado por la Comisión Europea dentro del programa Horizon 2020 y, más concretamente, como parte de las denominadas “Open Calls” asociadas a la acción conjunta Shift... </w:t>
                        </w:r>
                        <w:hyperlink r:id="rId26"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BERTIM Project has published its third newsletter</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386080"/>
                              <wp:effectExtent l="0" t="0" r="0" b="13970"/>
                              <wp:wrapSquare wrapText="bothSides"/>
                              <wp:docPr id="12" name="Imagen 12" descr="BERTIM Project has published its third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RTIM Project has published its third newslette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BERTIM Project is supported under the HORIZON2020 program. The project willdevelop a prefabricated solution which will provide the opportunity to renovate improving energy performance, air quality, aesthetics, comfort, and property value at the same time, while ensuring low intrusiveness during renovation works.</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xml:space="preserve">Now the project has just published the thrird newsletter ava... </w:t>
                        </w:r>
                        <w:hyperlink r:id="rId28"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INTACT newsletter No 5 available</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509905"/>
                              <wp:effectExtent l="0" t="0" r="0" b="4445"/>
                              <wp:wrapSquare wrapText="bothSides"/>
                              <wp:docPr id="11" name="Imagen 11" descr="INTACT newsletter No 5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ACT newsletter No 5 available"/>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INTACT helps critical infrastructure to become more resilient and responsive in advance of the different extreme weather conditions across Europe</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The fifth INTACT Newsletter focuses on the results of the Case Studies that are carried out during the project.</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xml:space="preserve">Kees van Ruiten of Deltares presents the main results and recommendations of the case studies and results of t... </w:t>
                        </w:r>
                        <w:hyperlink r:id="rId30"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Edificio público de viviendas de EIGE objeto de estudio en curso formativo sobre nZEB del proyecto PROFTRAC en el que participa IVE</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10" name="Imagen 10" descr="Edificio público de viviendas de EIGE objeto de estudio en curso formativo sobre nZEB del proyecto PROFTRAC en el que participa 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ificio público de viviendas de EIGE objeto de estudio en curso formativo sobre nZEB del proyecto PROFTRAC en el que participa IVE"/>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En el marco del desarrollo del curso semipresencial "¿Cómo diseñar un edificio de energía casi nulo, nZEB?" será objeto de estudio un edificio piloto de viviendas cedido en colaboración con la Entidad de Infraestructuras de la Generalitat Valenciana (EIGE).</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xml:space="preserve">El objeto de este curso es ayudar a los técnicos en el ejercicio de su profesión de cara a actualizar los con... </w:t>
                        </w:r>
                        <w:hyperlink r:id="rId32"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BRICKER consortium heads to Liège demo site in surprise visit</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716280"/>
                              <wp:effectExtent l="0" t="0" r="0" b="7620"/>
                              <wp:wrapSquare wrapText="bothSides"/>
                              <wp:docPr id="9" name="Imagen 9" descr="BRICKER consortium heads to Liège demo site in surprise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CKER consortium heads to Liège demo site in surprise visit"/>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BRICKER partners were in for a surprise when they convened in Brussels recently for the project’s second review by EC officials</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xml:space="preserve">The demo site team from Liège had secretly set their own agenda, seizing the opportunity to whisk the partners off for a few hours to visit their demo site at the Haute Ecole in Liège. Attendees were as surprised as they were ... </w:t>
                        </w:r>
                        <w:hyperlink r:id="rId34"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40E2A" w:rsidRPr="00640E2A" w:rsidRDefault="00640E2A" w:rsidP="00640E2A">
                  <w:pPr>
                    <w:spacing w:after="0" w:line="240" w:lineRule="auto"/>
                    <w:rPr>
                      <w:rFonts w:ascii="Arial" w:eastAsia="Times New Roman" w:hAnsi="Arial" w:cs="Arial"/>
                      <w:b/>
                      <w:bCs/>
                      <w:color w:val="FFFFFF"/>
                      <w:sz w:val="26"/>
                      <w:szCs w:val="26"/>
                      <w:lang w:eastAsia="es-ES"/>
                    </w:rPr>
                  </w:pPr>
                  <w:r w:rsidRPr="00640E2A">
                    <w:rPr>
                      <w:rFonts w:ascii="Arial" w:eastAsia="Times New Roman" w:hAnsi="Arial" w:cs="Arial"/>
                      <w:b/>
                      <w:bCs/>
                      <w:color w:val="FFFFFF"/>
                      <w:sz w:val="26"/>
                      <w:szCs w:val="26"/>
                      <w:lang w:eastAsia="es-ES"/>
                    </w:rPr>
                    <w:t>    NOTICIAS NACIONALES</w:t>
                  </w: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El Gobierno autoriza la convocatoria de casi 500 millones de euros en ayudas para la I+D+i</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842010"/>
                              <wp:effectExtent l="0" t="0" r="0" b="15240"/>
                              <wp:wrapSquare wrapText="bothSides"/>
                              <wp:docPr id="8" name="Imagen 8" descr="El Gobierno autoriza la convocatoria de casi 500 millones de euros en ayudas para la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 Gobierno autoriza la convocatoria de casi 500 millones de euros en ayudas para la I+D+i"/>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 xml:space="preserve">El Consejo de Ministros ha autorizado en el Consejo de Ministros celebrado el pasado 18 de noviembre una importante excepción a la orden de cierre presupuestario que permitirá destinar casi 500 millones de euros a la I+D+i a través de las iniciativas Proyectos I+D ("Excelencia"), el Programa Estatal de I+D+i Orientada a los Retos de la Sociedad y el Subprograma Estatal de I... </w:t>
                        </w:r>
                        <w:hyperlink r:id="rId36"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La Agencia Estatal de Investigación destina 104,7 millones de euros para la contratación de más de 1.000 investigadores y técnicos</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7" name="Imagen 7" descr="La Agencia Estatal de Investigación destina 104,7 millones de euros para la contratación de más de 1.000 investigadores y técn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 Agencia Estatal de Investigación destina 104,7 millones de euros para la contratación de más de 1.000 investigadores y técnicos"/>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 xml:space="preserve">La Presidencia de la Agencia Estatal de Investigación ha convocado seis actuaciones del Programa Estatal de Promoción del Talento y su Empleabilidad, en el marco del Plan Estatal de Investigación Científica y Técnica y de Innovación 2013-2016, cuyos objetivos son la incorporación de científicos con una trayectoria destacada, en sus diferentes etapas, la formación de nuevos ... </w:t>
                        </w:r>
                        <w:hyperlink r:id="rId38"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 xml:space="preserve">Carmen Vela seguirá al frente de la secretaría de Estado de Investigación, Desarrollo e Innovación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687705"/>
                              <wp:effectExtent l="0" t="0" r="0" b="17145"/>
                              <wp:wrapSquare wrapText="bothSides"/>
                              <wp:docPr id="6" name="Imagen 6" descr="Carmen Vela seguirá al frente de la secretaría de Estado de Investigación, Desarrollo e Innov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men Vela seguirá al frente de la secretaría de Estado de Investigación, Desarrollo e Innovación "/>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Carmen Vela seguirá al frente de la secretaría de Estado de Estado de Investigación, Desarrollo e Innovación (I+D+i) dentro del Ministerio de Economía, Industria y Competitividad, según han confirmado a Europa Press fuentes de este departamento, después de que el Consejo de Ministros haya aprobado este viernes 11 de noviembre cambios en otras áreas del ministerio.</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xml:space="preserve">Vela ll... </w:t>
                        </w:r>
                        <w:hyperlink r:id="rId40"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40E2A" w:rsidRPr="00640E2A" w:rsidRDefault="00640E2A" w:rsidP="00640E2A">
                  <w:pPr>
                    <w:spacing w:after="0" w:line="240" w:lineRule="auto"/>
                    <w:rPr>
                      <w:rFonts w:ascii="Arial" w:eastAsia="Times New Roman" w:hAnsi="Arial" w:cs="Arial"/>
                      <w:b/>
                      <w:bCs/>
                      <w:color w:val="FFFFFF"/>
                      <w:sz w:val="26"/>
                      <w:szCs w:val="26"/>
                      <w:lang w:eastAsia="es-ES"/>
                    </w:rPr>
                  </w:pPr>
                  <w:r w:rsidRPr="00640E2A">
                    <w:rPr>
                      <w:rFonts w:ascii="Arial" w:eastAsia="Times New Roman" w:hAnsi="Arial" w:cs="Arial"/>
                      <w:b/>
                      <w:bCs/>
                      <w:color w:val="FFFFFF"/>
                      <w:sz w:val="26"/>
                      <w:szCs w:val="26"/>
                      <w:lang w:eastAsia="es-ES"/>
                    </w:rPr>
                    <w:t>    NOTICIAS INTERNACIONALES</w:t>
                  </w: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Publicada una nueva versión del Annotated Model Grant Agreement para H2020</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5" name="Imagen 5" descr="Publicada una nueva versión del Annotated Model Grant Agreement para 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ublicada una nueva versión del Annotated Model Grant Agreement para H2020"/>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La Comisión Europea ha publicado el pasado 25 de noviembre una nueva actualización de la versión Anotada del Acuerdo de Subvención, que viene a ser la guía legal y financiera para H2020.</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xml:space="preserve">Desaparece en este nueva versión la referencia a ‘full capacity use’ en lo que se refería a la amortización de equipamientos, así como se desarrollan comentarios y ejemplos ... </w:t>
                        </w:r>
                        <w:hyperlink r:id="rId42"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Commission announces members of group to produce vision for future EU research and innovation and boosting its impact</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471170"/>
                              <wp:effectExtent l="0" t="0" r="0" b="5080"/>
                              <wp:wrapSquare wrapText="bothSides"/>
                              <wp:docPr id="4" name="Imagen 4" descr="Commission announces members of group to produce vision for future EU research and innovation and boosting its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mission announces members of group to produce vision for future EU research and innovation and boosting its impact"/>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t>The European Commission has announced the 12 members of the new High Level Group that will formulate a vision for future EU research and innovation and make recommendations on maximising the impact of EU investments in this area. The group is chaired by Pascal Lamy, President Emeritus of the Jacques Delors Institute.</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xml:space="preserve">Carlos Moedas, European Commissioner for Research, Scie... </w:t>
                        </w:r>
                        <w:hyperlink r:id="rId44"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40E2A" w:rsidRPr="00640E2A" w:rsidTr="004543E7">
                          <w:trPr>
                            <w:tblCellSpacing w:w="0" w:type="dxa"/>
                          </w:trPr>
                          <w:tc>
                            <w:tcPr>
                              <w:tcW w:w="0" w:type="auto"/>
                              <w:tcBorders>
                                <w:top w:val="nil"/>
                                <w:left w:val="nil"/>
                                <w:bottom w:val="nil"/>
                                <w:right w:val="nil"/>
                              </w:tcBorders>
                              <w:vAlign w:val="center"/>
                              <w:hideMark/>
                            </w:tcPr>
                            <w:p w:rsidR="00640E2A" w:rsidRPr="00640E2A" w:rsidRDefault="00640E2A" w:rsidP="00640E2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40E2A">
                                <w:rPr>
                                  <w:rFonts w:ascii="Arial" w:eastAsia="Times New Roman" w:hAnsi="Arial" w:cs="Arial"/>
                                  <w:b/>
                                  <w:bCs/>
                                  <w:color w:val="0064AF"/>
                                  <w:sz w:val="23"/>
                                  <w:szCs w:val="23"/>
                                  <w:lang w:eastAsia="es-ES"/>
                                </w:rPr>
                                <w:t>Seminario Internacional CDTI. Madrid, 13 diciembre 2016</w:t>
                              </w:r>
                              <w:r w:rsidRPr="00640E2A">
                                <w:rPr>
                                  <w:rFonts w:ascii="Arial" w:eastAsia="Times New Roman" w:hAnsi="Arial" w:cs="Arial"/>
                                  <w:b/>
                                  <w:bCs/>
                                  <w:color w:val="0064AF"/>
                                  <w:sz w:val="14"/>
                                  <w:szCs w:val="14"/>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r>
                  <w:tr w:rsidR="00640E2A" w:rsidRPr="00640E2A" w:rsidTr="004543E7">
                    <w:trPr>
                      <w:trHeight w:val="120"/>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40E2A" w:rsidRPr="00640E2A" w:rsidRDefault="00640E2A" w:rsidP="00640E2A">
                        <w:pPr>
                          <w:spacing w:after="100" w:afterAutospacing="1" w:line="300" w:lineRule="auto"/>
                          <w:ind w:left="30" w:right="60"/>
                          <w:rPr>
                            <w:rFonts w:ascii="Arial" w:eastAsia="Times New Roman" w:hAnsi="Arial" w:cs="Arial"/>
                            <w:color w:val="000000"/>
                            <w:sz w:val="17"/>
                            <w:szCs w:val="17"/>
                            <w:lang w:eastAsia="es-ES"/>
                          </w:rPr>
                        </w:pPr>
                        <w:r w:rsidRPr="00640E2A">
                          <w:rPr>
                            <w:rFonts w:ascii="Times New Roman" w:eastAsia="Times New Roman" w:hAnsi="Times New Roman" w:cs="Times New Roman"/>
                            <w:noProof/>
                            <w:sz w:val="24"/>
                            <w:szCs w:val="24"/>
                            <w:lang w:eastAsia="es-ES"/>
                          </w:rPr>
                          <w:drawing>
                            <wp:anchor distT="30480" distB="30480" distL="30480" distR="30480" simplePos="0" relativeHeight="251679744" behindDoc="0" locked="0" layoutInCell="1" allowOverlap="0">
                              <wp:simplePos x="0" y="0"/>
                              <wp:positionH relativeFrom="column">
                                <wp:align>right</wp:align>
                              </wp:positionH>
                              <wp:positionV relativeFrom="line">
                                <wp:posOffset>0</wp:posOffset>
                              </wp:positionV>
                              <wp:extent cx="952500" cy="157480"/>
                              <wp:effectExtent l="0" t="0" r="0" b="13970"/>
                              <wp:wrapSquare wrapText="bothSides"/>
                              <wp:docPr id="3" name="Imagen 3" descr="Seminario Internacional CDTI. Madrid, 13 diciemb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minario Internacional CDTI. Madrid, 13 diciembre 2016"/>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E2A">
                          <w:rPr>
                            <w:rFonts w:ascii="Arial" w:eastAsia="Times New Roman" w:hAnsi="Arial" w:cs="Arial"/>
                            <w:color w:val="000000"/>
                            <w:sz w:val="17"/>
                            <w:szCs w:val="17"/>
                            <w:lang w:eastAsia="es-ES"/>
                          </w:rPr>
                          <w:br/>
                          <w:t>El próximo 13 de diciembre se celebrará la jornada "Oportunidades de colaboración tecnológica internacional a través de la Acción Tecnológica Exterior de CDTI", en el Hotel NH Madrid Paseo de la Habana.</w:t>
                        </w:r>
                        <w:r w:rsidRPr="00640E2A">
                          <w:rPr>
                            <w:rFonts w:ascii="Arial" w:eastAsia="Times New Roman" w:hAnsi="Arial" w:cs="Arial"/>
                            <w:color w:val="000000"/>
                            <w:sz w:val="17"/>
                            <w:szCs w:val="17"/>
                            <w:lang w:eastAsia="es-ES"/>
                          </w:rPr>
                          <w:br/>
                        </w:r>
                        <w:r w:rsidRPr="00640E2A">
                          <w:rPr>
                            <w:rFonts w:ascii="Arial" w:eastAsia="Times New Roman" w:hAnsi="Arial" w:cs="Arial"/>
                            <w:color w:val="000000"/>
                            <w:sz w:val="17"/>
                            <w:szCs w:val="17"/>
                            <w:lang w:eastAsia="es-ES"/>
                          </w:rPr>
                          <w:br/>
                          <w:t xml:space="preserve">En la primera parte de la jornada se presentarán las principales actividades y servicios de la Red Exterior del CDTI, para después celebrar tres sesiones paralelas en l... </w:t>
                        </w:r>
                        <w:hyperlink r:id="rId46" w:history="1">
                          <w:r w:rsidRPr="00640E2A">
                            <w:rPr>
                              <w:rFonts w:ascii="Arial" w:eastAsia="Times New Roman" w:hAnsi="Arial" w:cs="Arial"/>
                              <w:b/>
                              <w:bCs/>
                              <w:color w:val="CC0000"/>
                              <w:sz w:val="15"/>
                              <w:szCs w:val="15"/>
                              <w:u w:val="single"/>
                              <w:lang w:eastAsia="es-ES"/>
                            </w:rPr>
                            <w:t>Ver noticia completa</w:t>
                          </w:r>
                        </w:hyperlink>
                        <w:r w:rsidRPr="00640E2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40E2A" w:rsidRPr="00640E2A" w:rsidTr="004543E7">
                    <w:trPr>
                      <w:trHeight w:val="120"/>
                      <w:tblCellSpacing w:w="0" w:type="dxa"/>
                      <w:jc w:val="center"/>
                    </w:trPr>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640E2A" w:rsidRPr="00640E2A" w:rsidRDefault="00640E2A" w:rsidP="00640E2A">
                        <w:pPr>
                          <w:spacing w:after="0" w:line="264" w:lineRule="auto"/>
                          <w:ind w:left="30"/>
                          <w:rPr>
                            <w:rFonts w:ascii="Arial" w:eastAsia="Times New Roman" w:hAnsi="Arial" w:cs="Arial"/>
                            <w:b/>
                            <w:bCs/>
                            <w:color w:val="AA0000"/>
                            <w:sz w:val="30"/>
                            <w:szCs w:val="30"/>
                            <w:lang w:eastAsia="es-ES"/>
                          </w:rPr>
                        </w:pPr>
                        <w:r w:rsidRPr="00640E2A">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640E2A" w:rsidRPr="00640E2A" w:rsidTr="004543E7">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640E2A" w:rsidRPr="00640E2A" w:rsidRDefault="00640E2A" w:rsidP="00640E2A">
                              <w:pPr>
                                <w:spacing w:after="0" w:line="240" w:lineRule="auto"/>
                                <w:rPr>
                                  <w:rFonts w:ascii="Arial" w:eastAsia="Times New Roman" w:hAnsi="Arial" w:cs="Arial"/>
                                  <w:b/>
                                  <w:bCs/>
                                  <w:color w:val="FFFFFF"/>
                                  <w:sz w:val="26"/>
                                  <w:szCs w:val="26"/>
                                  <w:lang w:eastAsia="es-ES"/>
                                </w:rPr>
                              </w:pPr>
                              <w:r w:rsidRPr="00640E2A">
                                <w:rPr>
                                  <w:rFonts w:ascii="Arial" w:eastAsia="Times New Roman" w:hAnsi="Arial" w:cs="Arial"/>
                                  <w:b/>
                                  <w:bCs/>
                                  <w:color w:val="FFFFFF"/>
                                  <w:sz w:val="26"/>
                                  <w:szCs w:val="26"/>
                                  <w:lang w:eastAsia="es-ES"/>
                                </w:rPr>
                                <w:t xml:space="preserve">    EVENTOS DE LA PTEC </w:t>
                              </w:r>
                            </w:p>
                          </w:tc>
                        </w:tr>
                        <w:tr w:rsidR="00640E2A" w:rsidRPr="00640E2A" w:rsidTr="004543E7">
                          <w:trPr>
                            <w:tblCellSpacing w:w="0" w:type="dxa"/>
                          </w:trPr>
                          <w:tc>
                            <w:tcPr>
                              <w:tcW w:w="0" w:type="auto"/>
                              <w:tcBorders>
                                <w:top w:val="nil"/>
                                <w:left w:val="nil"/>
                                <w:bottom w:val="nil"/>
                                <w:right w:val="nil"/>
                              </w:tcBorders>
                              <w:shd w:val="clear" w:color="auto" w:fill="FFFFFF"/>
                              <w:vAlign w:val="center"/>
                              <w:hideMark/>
                            </w:tcPr>
                            <w:p w:rsidR="00640E2A" w:rsidRPr="00640E2A" w:rsidRDefault="00640E2A" w:rsidP="00640E2A">
                              <w:pPr>
                                <w:spacing w:after="0" w:line="300" w:lineRule="auto"/>
                                <w:ind w:left="30" w:right="60"/>
                                <w:rPr>
                                  <w:rFonts w:ascii="Arial" w:eastAsia="Times New Roman" w:hAnsi="Arial" w:cs="Arial"/>
                                  <w:color w:val="000000"/>
                                  <w:sz w:val="17"/>
                                  <w:szCs w:val="17"/>
                                  <w:lang w:eastAsia="es-ES"/>
                                </w:rPr>
                              </w:pPr>
                              <w:r w:rsidRPr="00640E2A">
                                <w:rPr>
                                  <w:rFonts w:ascii="Arial" w:eastAsia="Times New Roman" w:hAnsi="Arial" w:cs="Arial"/>
                                  <w:b/>
                                  <w:bCs/>
                                  <w:color w:val="AA0000"/>
                                  <w:sz w:val="18"/>
                                  <w:szCs w:val="18"/>
                                  <w:lang w:eastAsia="es-ES"/>
                                </w:rPr>
                                <w:t xml:space="preserve">12 de Diciembre de 2016 </w:t>
                              </w:r>
                              <w:r w:rsidRPr="00640E2A">
                                <w:rPr>
                                  <w:rFonts w:ascii="Arial" w:eastAsia="Times New Roman" w:hAnsi="Arial" w:cs="Arial"/>
                                  <w:color w:val="000000"/>
                                  <w:sz w:val="17"/>
                                  <w:szCs w:val="17"/>
                                  <w:lang w:eastAsia="es-ES"/>
                                </w:rPr>
                                <w:t xml:space="preserve">Asamblea PTEC </w:t>
                              </w:r>
                            </w:p>
                          </w:tc>
                        </w:tr>
                        <w:tr w:rsidR="00640E2A" w:rsidRPr="00640E2A" w:rsidTr="004543E7">
                          <w:trPr>
                            <w:tblCellSpacing w:w="0" w:type="dxa"/>
                          </w:trPr>
                          <w:tc>
                            <w:tcPr>
                              <w:tcW w:w="0" w:type="auto"/>
                              <w:tcBorders>
                                <w:top w:val="nil"/>
                                <w:left w:val="nil"/>
                                <w:bottom w:val="nil"/>
                                <w:right w:val="nil"/>
                              </w:tcBorders>
                              <w:shd w:val="clear" w:color="auto" w:fill="FFFFFF"/>
                              <w:vAlign w:val="center"/>
                              <w:hideMark/>
                            </w:tcPr>
                            <w:p w:rsidR="00640E2A" w:rsidRPr="00640E2A" w:rsidRDefault="00640E2A" w:rsidP="00640E2A">
                              <w:pPr>
                                <w:spacing w:after="0" w:line="300" w:lineRule="auto"/>
                                <w:ind w:left="30" w:right="60"/>
                                <w:rPr>
                                  <w:rFonts w:ascii="Arial" w:eastAsia="Times New Roman" w:hAnsi="Arial" w:cs="Arial"/>
                                  <w:color w:val="000000"/>
                                  <w:sz w:val="17"/>
                                  <w:szCs w:val="17"/>
                                  <w:lang w:eastAsia="es-ES"/>
                                </w:rPr>
                              </w:pPr>
                              <w:r w:rsidRPr="00640E2A">
                                <w:rPr>
                                  <w:rFonts w:ascii="Arial" w:eastAsia="Times New Roman" w:hAnsi="Arial" w:cs="Arial"/>
                                  <w:b/>
                                  <w:bCs/>
                                  <w:color w:val="AA0000"/>
                                  <w:sz w:val="18"/>
                                  <w:szCs w:val="18"/>
                                  <w:lang w:eastAsia="es-ES"/>
                                </w:rPr>
                                <w:t xml:space="preserve">14 de Diciembre de 2016 </w:t>
                              </w:r>
                              <w:r w:rsidRPr="00640E2A">
                                <w:rPr>
                                  <w:rFonts w:ascii="Arial" w:eastAsia="Times New Roman" w:hAnsi="Arial" w:cs="Arial"/>
                                  <w:color w:val="000000"/>
                                  <w:sz w:val="17"/>
                                  <w:szCs w:val="17"/>
                                  <w:lang w:eastAsia="es-ES"/>
                                </w:rPr>
                                <w:t xml:space="preserve">Jornada sobre protección frente al gas radón </w:t>
                              </w:r>
                              <w:hyperlink r:id="rId47" w:history="1">
                                <w:r w:rsidRPr="00640E2A">
                                  <w:rPr>
                                    <w:rFonts w:ascii="Arial" w:eastAsia="Times New Roman" w:hAnsi="Arial" w:cs="Arial"/>
                                    <w:b/>
                                    <w:bCs/>
                                    <w:color w:val="000033"/>
                                    <w:sz w:val="15"/>
                                    <w:szCs w:val="15"/>
                                    <w:u w:val="single"/>
                                    <w:lang w:eastAsia="es-ES"/>
                                  </w:rPr>
                                  <w:t>Ver evento</w:t>
                                </w:r>
                              </w:hyperlink>
                              <w:r w:rsidRPr="00640E2A">
                                <w:rPr>
                                  <w:rFonts w:ascii="Arial" w:eastAsia="Times New Roman" w:hAnsi="Arial" w:cs="Arial"/>
                                  <w:color w:val="000000"/>
                                  <w:sz w:val="17"/>
                                  <w:szCs w:val="17"/>
                                  <w:lang w:eastAsia="es-ES"/>
                                </w:rPr>
                                <w:t xml:space="preserve"> </w:t>
                              </w:r>
                            </w:p>
                          </w:tc>
                        </w:tr>
                        <w:tr w:rsidR="00640E2A" w:rsidRPr="00640E2A" w:rsidTr="004543E7">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640E2A" w:rsidRPr="00640E2A" w:rsidRDefault="00640E2A" w:rsidP="00640E2A">
                              <w:pPr>
                                <w:spacing w:after="0" w:line="240" w:lineRule="auto"/>
                                <w:rPr>
                                  <w:rFonts w:ascii="Arial" w:eastAsia="Times New Roman" w:hAnsi="Arial" w:cs="Arial"/>
                                  <w:b/>
                                  <w:bCs/>
                                  <w:color w:val="FFFFFF"/>
                                  <w:sz w:val="26"/>
                                  <w:szCs w:val="26"/>
                                  <w:lang w:eastAsia="es-ES"/>
                                </w:rPr>
                              </w:pPr>
                              <w:r w:rsidRPr="00640E2A">
                                <w:rPr>
                                  <w:rFonts w:ascii="Arial" w:eastAsia="Times New Roman" w:hAnsi="Arial" w:cs="Arial"/>
                                  <w:b/>
                                  <w:bCs/>
                                  <w:color w:val="FFFFFF"/>
                                  <w:sz w:val="26"/>
                                  <w:szCs w:val="26"/>
                                  <w:lang w:eastAsia="es-ES"/>
                                </w:rPr>
                                <w:t xml:space="preserve">    EVENTOS INTERNACIONALES </w:t>
                              </w:r>
                            </w:p>
                          </w:tc>
                        </w:tr>
                        <w:tr w:rsidR="00640E2A" w:rsidRPr="00640E2A" w:rsidTr="004543E7">
                          <w:trPr>
                            <w:tblCellSpacing w:w="0" w:type="dxa"/>
                          </w:trPr>
                          <w:tc>
                            <w:tcPr>
                              <w:tcW w:w="0" w:type="auto"/>
                              <w:tcBorders>
                                <w:top w:val="nil"/>
                                <w:left w:val="nil"/>
                                <w:bottom w:val="nil"/>
                                <w:right w:val="nil"/>
                              </w:tcBorders>
                              <w:shd w:val="clear" w:color="auto" w:fill="FFFFFF"/>
                              <w:vAlign w:val="center"/>
                              <w:hideMark/>
                            </w:tcPr>
                            <w:p w:rsidR="00640E2A" w:rsidRPr="00640E2A" w:rsidRDefault="00640E2A" w:rsidP="00640E2A">
                              <w:pPr>
                                <w:spacing w:after="0" w:line="300" w:lineRule="auto"/>
                                <w:ind w:left="30" w:right="60"/>
                                <w:rPr>
                                  <w:rFonts w:ascii="Arial" w:eastAsia="Times New Roman" w:hAnsi="Arial" w:cs="Arial"/>
                                  <w:color w:val="000000"/>
                                  <w:sz w:val="17"/>
                                  <w:szCs w:val="17"/>
                                  <w:lang w:eastAsia="es-ES"/>
                                </w:rPr>
                              </w:pPr>
                              <w:r w:rsidRPr="00640E2A">
                                <w:rPr>
                                  <w:rFonts w:ascii="Arial" w:eastAsia="Times New Roman" w:hAnsi="Arial" w:cs="Arial"/>
                                  <w:b/>
                                  <w:bCs/>
                                  <w:color w:val="AA0000"/>
                                  <w:sz w:val="18"/>
                                  <w:szCs w:val="18"/>
                                  <w:lang w:eastAsia="es-ES"/>
                                </w:rPr>
                                <w:t xml:space="preserve">08 de Diciembre de 2016 </w:t>
                              </w:r>
                              <w:r w:rsidRPr="00640E2A">
                                <w:rPr>
                                  <w:rFonts w:ascii="Arial" w:eastAsia="Times New Roman" w:hAnsi="Arial" w:cs="Arial"/>
                                  <w:color w:val="000000"/>
                                  <w:sz w:val="17"/>
                                  <w:szCs w:val="17"/>
                                  <w:lang w:eastAsia="es-ES"/>
                                </w:rPr>
                                <w:t xml:space="preserve">Info Day &amp; Brokerage Event Reto Social 5 Acción por el Clima, Medio Ambiente, Eficiencia en los Recu </w:t>
                              </w:r>
                              <w:hyperlink r:id="rId48" w:history="1">
                                <w:r w:rsidRPr="00640E2A">
                                  <w:rPr>
                                    <w:rFonts w:ascii="Arial" w:eastAsia="Times New Roman" w:hAnsi="Arial" w:cs="Arial"/>
                                    <w:b/>
                                    <w:bCs/>
                                    <w:color w:val="000033"/>
                                    <w:sz w:val="15"/>
                                    <w:szCs w:val="15"/>
                                    <w:u w:val="single"/>
                                    <w:lang w:eastAsia="es-ES"/>
                                  </w:rPr>
                                  <w:t>Ver evento</w:t>
                                </w:r>
                              </w:hyperlink>
                              <w:r w:rsidRPr="00640E2A">
                                <w:rPr>
                                  <w:rFonts w:ascii="Arial" w:eastAsia="Times New Roman" w:hAnsi="Arial" w:cs="Arial"/>
                                  <w:color w:val="000000"/>
                                  <w:sz w:val="17"/>
                                  <w:szCs w:val="17"/>
                                  <w:lang w:eastAsia="es-ES"/>
                                </w:rPr>
                                <w:t xml:space="preserve"> </w:t>
                              </w:r>
                            </w:p>
                          </w:tc>
                        </w:tr>
                        <w:tr w:rsidR="00640E2A" w:rsidRPr="00640E2A" w:rsidTr="004543E7">
                          <w:trPr>
                            <w:tblCellSpacing w:w="0" w:type="dxa"/>
                          </w:trPr>
                          <w:tc>
                            <w:tcPr>
                              <w:tcW w:w="0" w:type="auto"/>
                              <w:tcBorders>
                                <w:top w:val="nil"/>
                                <w:left w:val="nil"/>
                                <w:bottom w:val="nil"/>
                                <w:right w:val="nil"/>
                              </w:tcBorders>
                              <w:shd w:val="clear" w:color="auto" w:fill="FFFFFF"/>
                              <w:vAlign w:val="center"/>
                              <w:hideMark/>
                            </w:tcPr>
                            <w:p w:rsidR="00640E2A" w:rsidRPr="00640E2A" w:rsidRDefault="00640E2A" w:rsidP="00640E2A">
                              <w:pPr>
                                <w:spacing w:after="0" w:line="300" w:lineRule="auto"/>
                                <w:ind w:left="30" w:right="60"/>
                                <w:rPr>
                                  <w:rFonts w:ascii="Arial" w:eastAsia="Times New Roman" w:hAnsi="Arial" w:cs="Arial"/>
                                  <w:color w:val="000000"/>
                                  <w:sz w:val="17"/>
                                  <w:szCs w:val="17"/>
                                  <w:lang w:eastAsia="es-ES"/>
                                </w:rPr>
                              </w:pPr>
                              <w:r w:rsidRPr="00640E2A">
                                <w:rPr>
                                  <w:rFonts w:ascii="Arial" w:eastAsia="Times New Roman" w:hAnsi="Arial" w:cs="Arial"/>
                                  <w:b/>
                                  <w:bCs/>
                                  <w:color w:val="AA0000"/>
                                  <w:sz w:val="18"/>
                                  <w:szCs w:val="18"/>
                                  <w:lang w:eastAsia="es-ES"/>
                                </w:rPr>
                                <w:t xml:space="preserve">12 de Diciembre de 2016 </w:t>
                              </w:r>
                              <w:r w:rsidRPr="00640E2A">
                                <w:rPr>
                                  <w:rFonts w:ascii="Arial" w:eastAsia="Times New Roman" w:hAnsi="Arial" w:cs="Arial"/>
                                  <w:color w:val="000000"/>
                                  <w:sz w:val="17"/>
                                  <w:szCs w:val="17"/>
                                  <w:lang w:eastAsia="es-ES"/>
                                </w:rPr>
                                <w:t xml:space="preserve">Congreso internacional BIMTECNIA: Foro internacional de la construcción inteligente </w:t>
                              </w:r>
                              <w:hyperlink r:id="rId49" w:history="1">
                                <w:r w:rsidRPr="00640E2A">
                                  <w:rPr>
                                    <w:rFonts w:ascii="Arial" w:eastAsia="Times New Roman" w:hAnsi="Arial" w:cs="Arial"/>
                                    <w:b/>
                                    <w:bCs/>
                                    <w:color w:val="000033"/>
                                    <w:sz w:val="15"/>
                                    <w:szCs w:val="15"/>
                                    <w:u w:val="single"/>
                                    <w:lang w:eastAsia="es-ES"/>
                                  </w:rPr>
                                  <w:t>Ver evento</w:t>
                                </w:r>
                              </w:hyperlink>
                              <w:r w:rsidRPr="00640E2A">
                                <w:rPr>
                                  <w:rFonts w:ascii="Arial" w:eastAsia="Times New Roman" w:hAnsi="Arial" w:cs="Arial"/>
                                  <w:color w:val="000000"/>
                                  <w:sz w:val="17"/>
                                  <w:szCs w:val="17"/>
                                  <w:lang w:eastAsia="es-ES"/>
                                </w:rPr>
                                <w:t xml:space="preserve"> </w:t>
                              </w:r>
                            </w:p>
                          </w:tc>
                        </w:tr>
                        <w:tr w:rsidR="00640E2A" w:rsidRPr="00640E2A" w:rsidTr="004543E7">
                          <w:trPr>
                            <w:tblCellSpacing w:w="0" w:type="dxa"/>
                          </w:trPr>
                          <w:tc>
                            <w:tcPr>
                              <w:tcW w:w="0" w:type="auto"/>
                              <w:tcBorders>
                                <w:top w:val="nil"/>
                                <w:left w:val="nil"/>
                                <w:bottom w:val="nil"/>
                                <w:right w:val="nil"/>
                              </w:tcBorders>
                              <w:shd w:val="clear" w:color="auto" w:fill="FFFFFF"/>
                              <w:vAlign w:val="center"/>
                              <w:hideMark/>
                            </w:tcPr>
                            <w:p w:rsidR="00640E2A" w:rsidRPr="00640E2A" w:rsidRDefault="00640E2A" w:rsidP="00640E2A">
                              <w:pPr>
                                <w:spacing w:after="0" w:line="300" w:lineRule="auto"/>
                                <w:ind w:left="30" w:right="60"/>
                                <w:rPr>
                                  <w:rFonts w:ascii="Arial" w:eastAsia="Times New Roman" w:hAnsi="Arial" w:cs="Arial"/>
                                  <w:color w:val="000000"/>
                                  <w:sz w:val="17"/>
                                  <w:szCs w:val="17"/>
                                  <w:lang w:eastAsia="es-ES"/>
                                </w:rPr>
                              </w:pPr>
                              <w:r w:rsidRPr="00640E2A">
                                <w:rPr>
                                  <w:rFonts w:ascii="Arial" w:eastAsia="Times New Roman" w:hAnsi="Arial" w:cs="Arial"/>
                                  <w:b/>
                                  <w:bCs/>
                                  <w:color w:val="AA0000"/>
                                  <w:sz w:val="18"/>
                                  <w:szCs w:val="18"/>
                                  <w:lang w:eastAsia="es-ES"/>
                                </w:rPr>
                                <w:t xml:space="preserve">14 de Diciembre de 2016 </w:t>
                              </w:r>
                              <w:r w:rsidRPr="00640E2A">
                                <w:rPr>
                                  <w:rFonts w:ascii="Arial" w:eastAsia="Times New Roman" w:hAnsi="Arial" w:cs="Arial"/>
                                  <w:color w:val="000000"/>
                                  <w:sz w:val="17"/>
                                  <w:szCs w:val="17"/>
                                  <w:lang w:eastAsia="es-ES"/>
                                </w:rPr>
                                <w:t xml:space="preserve">Eurostars Webinar - Helping SMEs to innovate </w:t>
                              </w:r>
                              <w:hyperlink r:id="rId50" w:history="1">
                                <w:r w:rsidRPr="00640E2A">
                                  <w:rPr>
                                    <w:rFonts w:ascii="Arial" w:eastAsia="Times New Roman" w:hAnsi="Arial" w:cs="Arial"/>
                                    <w:b/>
                                    <w:bCs/>
                                    <w:color w:val="000033"/>
                                    <w:sz w:val="15"/>
                                    <w:szCs w:val="15"/>
                                    <w:u w:val="single"/>
                                    <w:lang w:eastAsia="es-ES"/>
                                  </w:rPr>
                                  <w:t>Ver evento</w:t>
                                </w:r>
                              </w:hyperlink>
                              <w:r w:rsidRPr="00640E2A">
                                <w:rPr>
                                  <w:rFonts w:ascii="Arial" w:eastAsia="Times New Roman" w:hAnsi="Arial" w:cs="Arial"/>
                                  <w:color w:val="000000"/>
                                  <w:sz w:val="17"/>
                                  <w:szCs w:val="17"/>
                                  <w:lang w:eastAsia="es-ES"/>
                                </w:rPr>
                                <w:t xml:space="preserve"> </w:t>
                              </w:r>
                            </w:p>
                          </w:tc>
                        </w:tr>
                        <w:tr w:rsidR="00640E2A" w:rsidRPr="00640E2A" w:rsidTr="004543E7">
                          <w:trPr>
                            <w:tblCellSpacing w:w="0" w:type="dxa"/>
                          </w:trPr>
                          <w:tc>
                            <w:tcPr>
                              <w:tcW w:w="0" w:type="auto"/>
                              <w:tcBorders>
                                <w:top w:val="nil"/>
                                <w:left w:val="nil"/>
                                <w:bottom w:val="nil"/>
                                <w:right w:val="nil"/>
                              </w:tcBorders>
                              <w:shd w:val="clear" w:color="auto" w:fill="FFFFFF"/>
                              <w:vAlign w:val="center"/>
                              <w:hideMark/>
                            </w:tcPr>
                            <w:p w:rsidR="00640E2A" w:rsidRPr="00640E2A" w:rsidRDefault="00640E2A" w:rsidP="00640E2A">
                              <w:pPr>
                                <w:spacing w:after="0" w:line="300" w:lineRule="auto"/>
                                <w:ind w:left="30" w:right="60"/>
                                <w:rPr>
                                  <w:rFonts w:ascii="Arial" w:eastAsia="Times New Roman" w:hAnsi="Arial" w:cs="Arial"/>
                                  <w:color w:val="000000"/>
                                  <w:sz w:val="17"/>
                                  <w:szCs w:val="17"/>
                                  <w:lang w:eastAsia="es-ES"/>
                                </w:rPr>
                              </w:pPr>
                              <w:r w:rsidRPr="00640E2A">
                                <w:rPr>
                                  <w:rFonts w:ascii="Arial" w:eastAsia="Times New Roman" w:hAnsi="Arial" w:cs="Arial"/>
                                  <w:b/>
                                  <w:bCs/>
                                  <w:color w:val="AA0000"/>
                                  <w:sz w:val="18"/>
                                  <w:szCs w:val="18"/>
                                  <w:lang w:eastAsia="es-ES"/>
                                </w:rPr>
                                <w:lastRenderedPageBreak/>
                                <w:t xml:space="preserve">19 de Enero de 2017 </w:t>
                              </w:r>
                              <w:r w:rsidRPr="00640E2A">
                                <w:rPr>
                                  <w:rFonts w:ascii="Arial" w:eastAsia="Times New Roman" w:hAnsi="Arial" w:cs="Arial"/>
                                  <w:color w:val="000000"/>
                                  <w:sz w:val="17"/>
                                  <w:szCs w:val="17"/>
                                  <w:lang w:eastAsia="es-ES"/>
                                </w:rPr>
                                <w:t xml:space="preserve">Shift2Rail Information Day </w:t>
                              </w:r>
                              <w:hyperlink r:id="rId51" w:history="1">
                                <w:r w:rsidRPr="00640E2A">
                                  <w:rPr>
                                    <w:rFonts w:ascii="Arial" w:eastAsia="Times New Roman" w:hAnsi="Arial" w:cs="Arial"/>
                                    <w:b/>
                                    <w:bCs/>
                                    <w:color w:val="000033"/>
                                    <w:sz w:val="15"/>
                                    <w:szCs w:val="15"/>
                                    <w:u w:val="single"/>
                                    <w:lang w:eastAsia="es-ES"/>
                                  </w:rPr>
                                  <w:t>Ver evento</w:t>
                                </w:r>
                              </w:hyperlink>
                              <w:r w:rsidRPr="00640E2A">
                                <w:rPr>
                                  <w:rFonts w:ascii="Arial" w:eastAsia="Times New Roman" w:hAnsi="Arial" w:cs="Arial"/>
                                  <w:color w:val="000000"/>
                                  <w:sz w:val="17"/>
                                  <w:szCs w:val="17"/>
                                  <w:lang w:eastAsia="es-ES"/>
                                </w:rPr>
                                <w:t xml:space="preserve"> </w:t>
                              </w:r>
                            </w:p>
                          </w:tc>
                        </w:tr>
                        <w:tr w:rsidR="00640E2A" w:rsidRPr="00640E2A" w:rsidTr="004543E7">
                          <w:trPr>
                            <w:tblCellSpacing w:w="0" w:type="dxa"/>
                          </w:trPr>
                          <w:tc>
                            <w:tcPr>
                              <w:tcW w:w="0" w:type="auto"/>
                              <w:tcBorders>
                                <w:top w:val="nil"/>
                                <w:left w:val="nil"/>
                                <w:bottom w:val="nil"/>
                                <w:right w:val="nil"/>
                              </w:tcBorders>
                              <w:shd w:val="clear" w:color="auto" w:fill="FFFFFF"/>
                              <w:vAlign w:val="center"/>
                              <w:hideMark/>
                            </w:tcPr>
                            <w:p w:rsidR="00640E2A" w:rsidRPr="00640E2A" w:rsidRDefault="00640E2A" w:rsidP="00640E2A">
                              <w:pPr>
                                <w:spacing w:after="0" w:line="300" w:lineRule="auto"/>
                                <w:ind w:left="30" w:right="60"/>
                                <w:rPr>
                                  <w:rFonts w:ascii="Arial" w:eastAsia="Times New Roman" w:hAnsi="Arial" w:cs="Arial"/>
                                  <w:color w:val="000000"/>
                                  <w:sz w:val="17"/>
                                  <w:szCs w:val="17"/>
                                  <w:lang w:eastAsia="es-ES"/>
                                </w:rPr>
                              </w:pPr>
                              <w:r w:rsidRPr="00640E2A">
                                <w:rPr>
                                  <w:rFonts w:ascii="Arial" w:eastAsia="Times New Roman" w:hAnsi="Arial" w:cs="Arial"/>
                                  <w:b/>
                                  <w:bCs/>
                                  <w:color w:val="AA0000"/>
                                  <w:sz w:val="18"/>
                                  <w:szCs w:val="18"/>
                                  <w:lang w:eastAsia="es-ES"/>
                                </w:rPr>
                                <w:t xml:space="preserve">23 de Febrero de 2017 </w:t>
                              </w:r>
                              <w:r w:rsidRPr="00640E2A">
                                <w:rPr>
                                  <w:rFonts w:ascii="Arial" w:eastAsia="Times New Roman" w:hAnsi="Arial" w:cs="Arial"/>
                                  <w:color w:val="000000"/>
                                  <w:sz w:val="17"/>
                                  <w:szCs w:val="17"/>
                                  <w:lang w:eastAsia="es-ES"/>
                                </w:rPr>
                                <w:t xml:space="preserve">Workshop on methods for durability design of reinforced concrete structures </w:t>
                              </w:r>
                              <w:hyperlink r:id="rId52" w:history="1">
                                <w:r w:rsidRPr="00640E2A">
                                  <w:rPr>
                                    <w:rFonts w:ascii="Arial" w:eastAsia="Times New Roman" w:hAnsi="Arial" w:cs="Arial"/>
                                    <w:b/>
                                    <w:bCs/>
                                    <w:color w:val="000033"/>
                                    <w:sz w:val="15"/>
                                    <w:szCs w:val="15"/>
                                    <w:u w:val="single"/>
                                    <w:lang w:eastAsia="es-ES"/>
                                  </w:rPr>
                                  <w:t>Ver evento</w:t>
                                </w:r>
                              </w:hyperlink>
                              <w:r w:rsidRPr="00640E2A">
                                <w:rPr>
                                  <w:rFonts w:ascii="Arial" w:eastAsia="Times New Roman" w:hAnsi="Arial" w:cs="Arial"/>
                                  <w:color w:val="000000"/>
                                  <w:sz w:val="17"/>
                                  <w:szCs w:val="17"/>
                                  <w:lang w:eastAsia="es-ES"/>
                                </w:rPr>
                                <w:t xml:space="preserve"> </w:t>
                              </w:r>
                            </w:p>
                          </w:tc>
                        </w:tr>
                        <w:tr w:rsidR="00640E2A" w:rsidRPr="00640E2A" w:rsidTr="004543E7">
                          <w:trPr>
                            <w:tblCellSpacing w:w="0" w:type="dxa"/>
                          </w:trPr>
                          <w:tc>
                            <w:tcPr>
                              <w:tcW w:w="0" w:type="auto"/>
                              <w:tcBorders>
                                <w:top w:val="nil"/>
                                <w:left w:val="nil"/>
                                <w:bottom w:val="single" w:sz="6" w:space="0" w:color="AA0000"/>
                                <w:right w:val="nil"/>
                              </w:tcBorders>
                              <w:shd w:val="clear" w:color="auto" w:fill="FFFFFF"/>
                              <w:vAlign w:val="center"/>
                              <w:hideMark/>
                            </w:tcPr>
                            <w:p w:rsidR="00640E2A" w:rsidRPr="00640E2A" w:rsidRDefault="00640E2A" w:rsidP="00640E2A">
                              <w:pPr>
                                <w:spacing w:after="0" w:line="300" w:lineRule="auto"/>
                                <w:ind w:left="30" w:right="60"/>
                                <w:rPr>
                                  <w:rFonts w:ascii="Arial" w:eastAsia="Times New Roman" w:hAnsi="Arial" w:cs="Arial"/>
                                  <w:color w:val="000000"/>
                                  <w:sz w:val="17"/>
                                  <w:szCs w:val="17"/>
                                  <w:lang w:eastAsia="es-ES"/>
                                </w:rPr>
                              </w:pPr>
                              <w:r w:rsidRPr="00640E2A">
                                <w:rPr>
                                  <w:rFonts w:ascii="Arial" w:eastAsia="Times New Roman" w:hAnsi="Arial" w:cs="Arial"/>
                                  <w:b/>
                                  <w:bCs/>
                                  <w:color w:val="AA0000"/>
                                  <w:sz w:val="18"/>
                                  <w:szCs w:val="18"/>
                                  <w:lang w:eastAsia="es-ES"/>
                                </w:rPr>
                                <w:t xml:space="preserve">01 de Marzo de 2017 </w:t>
                              </w:r>
                              <w:r w:rsidRPr="00640E2A">
                                <w:rPr>
                                  <w:rFonts w:ascii="Arial" w:eastAsia="Times New Roman" w:hAnsi="Arial" w:cs="Arial"/>
                                  <w:color w:val="000000"/>
                                  <w:sz w:val="17"/>
                                  <w:szCs w:val="17"/>
                                  <w:lang w:eastAsia="es-ES"/>
                                </w:rPr>
                                <w:t xml:space="preserve">European Research Conference: Buildings </w:t>
                              </w:r>
                              <w:hyperlink r:id="rId53" w:history="1">
                                <w:r w:rsidRPr="00640E2A">
                                  <w:rPr>
                                    <w:rFonts w:ascii="Arial" w:eastAsia="Times New Roman" w:hAnsi="Arial" w:cs="Arial"/>
                                    <w:b/>
                                    <w:bCs/>
                                    <w:color w:val="000033"/>
                                    <w:sz w:val="15"/>
                                    <w:szCs w:val="15"/>
                                    <w:u w:val="single"/>
                                    <w:lang w:eastAsia="es-ES"/>
                                  </w:rPr>
                                  <w:t>Ver evento</w:t>
                                </w:r>
                              </w:hyperlink>
                              <w:r w:rsidRPr="00640E2A">
                                <w:rPr>
                                  <w:rFonts w:ascii="Arial" w:eastAsia="Times New Roman" w:hAnsi="Arial" w:cs="Arial"/>
                                  <w:color w:val="000000"/>
                                  <w:sz w:val="17"/>
                                  <w:szCs w:val="17"/>
                                  <w:lang w:eastAsia="es-ES"/>
                                </w:rPr>
                                <w:t xml:space="preserve"> </w:t>
                              </w: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lastRenderedPageBreak/>
                          <w:t> </w:t>
                        </w:r>
                      </w:p>
                    </w:tc>
                  </w:tr>
                  <w:tr w:rsidR="00640E2A" w:rsidRPr="00640E2A" w:rsidTr="004543E7">
                    <w:trPr>
                      <w:tblCellSpacing w:w="0" w:type="dxa"/>
                      <w:jc w:val="center"/>
                    </w:trPr>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640E2A" w:rsidRPr="00640E2A" w:rsidRDefault="00640E2A" w:rsidP="00640E2A">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640E2A" w:rsidRPr="00640E2A" w:rsidRDefault="00640E2A" w:rsidP="00640E2A">
                        <w:pPr>
                          <w:spacing w:after="0" w:line="240" w:lineRule="auto"/>
                          <w:rPr>
                            <w:rFonts w:ascii="Arial" w:eastAsia="Times New Roman" w:hAnsi="Arial" w:cs="Arial"/>
                            <w:color w:val="666666"/>
                            <w:sz w:val="17"/>
                            <w:szCs w:val="17"/>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8310" w:type="dxa"/>
                  <w:tcBorders>
                    <w:top w:val="nil"/>
                    <w:left w:val="nil"/>
                    <w:bottom w:val="nil"/>
                    <w:right w:val="nil"/>
                  </w:tcBorders>
                  <w:vAlign w:val="center"/>
                  <w:hideMark/>
                </w:tcPr>
                <w:p w:rsidR="00640E2A" w:rsidRPr="00640E2A" w:rsidRDefault="00640E2A" w:rsidP="00640E2A">
                  <w:pPr>
                    <w:spacing w:after="0" w:line="240" w:lineRule="auto"/>
                    <w:rPr>
                      <w:rFonts w:ascii="Times New Roman" w:eastAsia="Times New Roman" w:hAnsi="Times New Roman" w:cs="Times New Roman"/>
                      <w:sz w:val="20"/>
                      <w:szCs w:val="20"/>
                      <w:lang w:eastAsia="es-ES"/>
                    </w:rPr>
                  </w:pPr>
                </w:p>
              </w:tc>
            </w:tr>
          </w:tbl>
          <w:p w:rsidR="00640E2A" w:rsidRPr="00640E2A" w:rsidRDefault="00640E2A" w:rsidP="00640E2A">
            <w:pPr>
              <w:spacing w:after="0" w:line="240" w:lineRule="auto"/>
              <w:rPr>
                <w:rFonts w:ascii="Arial" w:eastAsia="Times New Roman" w:hAnsi="Arial" w:cs="Arial"/>
                <w:color w:val="666666"/>
                <w:sz w:val="17"/>
                <w:szCs w:val="17"/>
                <w:lang w:eastAsia="es-ES"/>
              </w:rPr>
            </w:pPr>
          </w:p>
        </w:tc>
      </w:tr>
      <w:tr w:rsidR="00640E2A" w:rsidRPr="00640E2A" w:rsidTr="004543E7">
        <w:trPr>
          <w:tblCellSpacing w:w="0" w:type="dxa"/>
          <w:jc w:val="center"/>
        </w:trPr>
        <w:tc>
          <w:tcPr>
            <w:tcW w:w="0" w:type="auto"/>
            <w:tcBorders>
              <w:bottom w:val="single" w:sz="6" w:space="0" w:color="666666"/>
            </w:tcBorders>
            <w:shd w:val="clear" w:color="auto" w:fill="FFFFFF"/>
            <w:hideMark/>
          </w:tcPr>
          <w:p w:rsidR="00640E2A" w:rsidRPr="00640E2A" w:rsidRDefault="00640E2A" w:rsidP="00640E2A">
            <w:pPr>
              <w:spacing w:after="0" w:line="240" w:lineRule="auto"/>
              <w:rPr>
                <w:rFonts w:ascii="Arial" w:eastAsia="Times New Roman" w:hAnsi="Arial" w:cs="Arial"/>
                <w:color w:val="666666"/>
                <w:sz w:val="17"/>
                <w:szCs w:val="17"/>
                <w:lang w:eastAsia="es-ES"/>
              </w:rPr>
            </w:pPr>
            <w:r w:rsidRPr="00640E2A">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640E2A" w:rsidRPr="00640E2A" w:rsidRDefault="00640E2A" w:rsidP="00640E2A">
      <w:pPr>
        <w:spacing w:after="0" w:line="240" w:lineRule="auto"/>
        <w:jc w:val="center"/>
        <w:rPr>
          <w:rFonts w:ascii="Arial" w:eastAsia="Times New Roman" w:hAnsi="Arial" w:cs="Arial"/>
          <w:color w:val="666666"/>
          <w:sz w:val="17"/>
          <w:szCs w:val="17"/>
          <w:lang w:eastAsia="es-ES"/>
        </w:rPr>
      </w:pPr>
      <w:r w:rsidRPr="00640E2A">
        <w:rPr>
          <w:rFonts w:ascii="Arial" w:eastAsia="Times New Roman" w:hAnsi="Arial" w:cs="Arial"/>
          <w:color w:val="666666"/>
          <w:sz w:val="17"/>
          <w:szCs w:val="17"/>
          <w:lang w:eastAsia="es-ES"/>
        </w:rPr>
        <w:br/>
      </w:r>
      <w:r w:rsidRPr="00640E2A">
        <w:rPr>
          <w:rFonts w:ascii="Arial" w:eastAsia="Times New Roman" w:hAnsi="Arial" w:cs="Arial"/>
          <w:color w:val="666666"/>
          <w:sz w:val="15"/>
          <w:szCs w:val="15"/>
          <w:lang w:eastAsia="es-ES"/>
        </w:rPr>
        <w:t xml:space="preserve">Recibe este mensaje porque está dado de alta en </w:t>
      </w:r>
      <w:hyperlink r:id="rId55" w:tgtFrame="_blank" w:history="1">
        <w:r w:rsidRPr="00640E2A">
          <w:rPr>
            <w:rFonts w:ascii="Arial" w:eastAsia="Times New Roman" w:hAnsi="Arial" w:cs="Arial"/>
            <w:color w:val="666666"/>
            <w:sz w:val="17"/>
            <w:szCs w:val="17"/>
            <w:u w:val="single"/>
            <w:lang w:eastAsia="es-ES"/>
          </w:rPr>
          <w:t>PLATAFORMAPTEC.com</w:t>
        </w:r>
      </w:hyperlink>
      <w:r w:rsidRPr="00640E2A">
        <w:rPr>
          <w:rFonts w:ascii="Arial" w:eastAsia="Times New Roman" w:hAnsi="Arial" w:cs="Arial"/>
          <w:color w:val="666666"/>
          <w:sz w:val="15"/>
          <w:szCs w:val="15"/>
          <w:lang w:eastAsia="es-ES"/>
        </w:rPr>
        <w:t xml:space="preserve">. </w:t>
      </w:r>
      <w:r w:rsidRPr="00640E2A">
        <w:rPr>
          <w:rFonts w:ascii="Arial" w:eastAsia="Times New Roman" w:hAnsi="Arial" w:cs="Arial"/>
          <w:color w:val="666666"/>
          <w:sz w:val="15"/>
          <w:szCs w:val="15"/>
          <w:lang w:eastAsia="es-ES"/>
        </w:rPr>
        <w:br/>
        <w:t xml:space="preserve">Si no desea recibir más mensajes como éste puede darse de baja desde el menú de usuario. </w:t>
      </w:r>
    </w:p>
    <w:p w:rsidR="00640E2A" w:rsidRPr="00640E2A" w:rsidRDefault="00640E2A" w:rsidP="00640E2A">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207384">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2A"/>
    <w:rsid w:val="0022287D"/>
    <w:rsid w:val="00640E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58F1F-06D5-41E2-8B94-BF2F3EC4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40E2A"/>
    <w:rPr>
      <w:rFonts w:ascii="Arial" w:hAnsi="Arial" w:cs="Arial"/>
      <w:color w:val="666666"/>
      <w:sz w:val="17"/>
      <w:szCs w:val="17"/>
      <w:u w:val="single"/>
    </w:rPr>
  </w:style>
  <w:style w:type="paragraph" w:styleId="NormalWeb">
    <w:name w:val="Normal (Web)"/>
    <w:basedOn w:val="Normal"/>
    <w:uiPriority w:val="99"/>
    <w:semiHidden/>
    <w:unhideWhenUsed/>
    <w:rsid w:val="00640E2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dfbd15105a739d67c9090df24f86956d.png" TargetMode="External"/><Relationship Id="rId18" Type="http://schemas.openxmlformats.org/officeDocument/2006/relationships/hyperlink" Target="http://www.plataformaptec.es/ver-noticia.php?id=3670" TargetMode="External"/><Relationship Id="rId26" Type="http://schemas.openxmlformats.org/officeDocument/2006/relationships/hyperlink" Target="http://www.plataformaptec.es/ver-noticia.php?id=3659" TargetMode="External"/><Relationship Id="rId39" Type="http://schemas.openxmlformats.org/officeDocument/2006/relationships/image" Target="http://www.plataformaptec.com/imagenes/dec0c63711d94825647180030b752346.jpg" TargetMode="External"/><Relationship Id="rId21" Type="http://schemas.openxmlformats.org/officeDocument/2006/relationships/image" Target="http://www.plataformaptec.com/imagenes/cbb4b275407eaf00bdac6bcca27c5332.png" TargetMode="External"/><Relationship Id="rId34" Type="http://schemas.openxmlformats.org/officeDocument/2006/relationships/hyperlink" Target="http://www.plataformaptec.es/ver-noticia.php?id=3663" TargetMode="External"/><Relationship Id="rId42" Type="http://schemas.openxmlformats.org/officeDocument/2006/relationships/hyperlink" Target="http://www.plataformaptec.es/ver-noticia.php?id=3667" TargetMode="External"/><Relationship Id="rId47" Type="http://schemas.openxmlformats.org/officeDocument/2006/relationships/hyperlink" Target="http://www.plataformaptec.es/ver-evento.php?id=854" TargetMode="External"/><Relationship Id="rId50" Type="http://schemas.openxmlformats.org/officeDocument/2006/relationships/hyperlink" Target="http://www.plataformaptec.es/ver-evento.php?id=853" TargetMode="External"/><Relationship Id="rId55" Type="http://schemas.openxmlformats.org/officeDocument/2006/relationships/hyperlink" Target="http://www.plataformaptec.com" TargetMode="External"/><Relationship Id="rId7" Type="http://schemas.openxmlformats.org/officeDocument/2006/relationships/image" Target="http://www.plataformaptec.com/imagenes/61e28ffa24b5adf141282d27b9de1c6a.jpg" TargetMode="External"/><Relationship Id="rId12" Type="http://schemas.openxmlformats.org/officeDocument/2006/relationships/hyperlink" Target="http://www.plataformaptec.es/ver-noticia.php?id=3673" TargetMode="External"/><Relationship Id="rId17" Type="http://schemas.openxmlformats.org/officeDocument/2006/relationships/image" Target="http://www.plataformaptec.com/imagenes/419906e2c39b907f0304058d355ff7bf.jpg" TargetMode="External"/><Relationship Id="rId25" Type="http://schemas.openxmlformats.org/officeDocument/2006/relationships/image" Target="http://www.plataformaptec.com/imagenes/1b27c8efc9606a97632021ffab183a3c.jpg" TargetMode="External"/><Relationship Id="rId33" Type="http://schemas.openxmlformats.org/officeDocument/2006/relationships/image" Target="http://www.plataformaptec.com/imagenes/2c407de81a4d5b9992551af007705604.jpg" TargetMode="External"/><Relationship Id="rId38" Type="http://schemas.openxmlformats.org/officeDocument/2006/relationships/hyperlink" Target="http://www.plataformaptec.es/ver-noticia.php?id=3665" TargetMode="External"/><Relationship Id="rId46" Type="http://schemas.openxmlformats.org/officeDocument/2006/relationships/hyperlink" Target="http://www.plataformaptec.es/ver-noticia.php?id=3669" TargetMode="External"/><Relationship Id="rId2" Type="http://schemas.openxmlformats.org/officeDocument/2006/relationships/settings" Target="settings.xml"/><Relationship Id="rId16" Type="http://schemas.openxmlformats.org/officeDocument/2006/relationships/hyperlink" Target="http://www.plataformaptec.es/ver-noticia.php?id=3632" TargetMode="External"/><Relationship Id="rId20" Type="http://schemas.openxmlformats.org/officeDocument/2006/relationships/hyperlink" Target="http://www.plataformaptec.es/ver-noticia.php?id=3675" TargetMode="External"/><Relationship Id="rId29" Type="http://schemas.openxmlformats.org/officeDocument/2006/relationships/image" Target="http://www.plataformaptec.com/imagenes/f7bf197bf938a1ccce1f46b4bb0fad9a.jpg" TargetMode="External"/><Relationship Id="rId41" Type="http://schemas.openxmlformats.org/officeDocument/2006/relationships/image" Target="http://www.plataformaptec.com/imagenes/20e781d467377f6978d5e08c441c18d6.gif" TargetMode="External"/><Relationship Id="rId54"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plataformaptec.es/ver-noticia.php?id=3671" TargetMode="External"/><Relationship Id="rId11" Type="http://schemas.openxmlformats.org/officeDocument/2006/relationships/image" Target="http://www.plataformaptec.com/imagenes/1787edfef46e10c39554a0204e1a6760.jpg" TargetMode="External"/><Relationship Id="rId24" Type="http://schemas.openxmlformats.org/officeDocument/2006/relationships/hyperlink" Target="http://www.plataformaptec.es/ver-noticia.php?id=3658" TargetMode="External"/><Relationship Id="rId32" Type="http://schemas.openxmlformats.org/officeDocument/2006/relationships/hyperlink" Target="http://www.plataformaptec.es/ver-noticia.php?id=3662" TargetMode="External"/><Relationship Id="rId37" Type="http://schemas.openxmlformats.org/officeDocument/2006/relationships/image" Target="http://www.plataformaptec.com/imagenes/33d47f9050ad0ed9a62d6ca09ac79443.jpg" TargetMode="External"/><Relationship Id="rId40" Type="http://schemas.openxmlformats.org/officeDocument/2006/relationships/hyperlink" Target="http://www.plataformaptec.es/ver-noticia.php?id=3666" TargetMode="External"/><Relationship Id="rId45" Type="http://schemas.openxmlformats.org/officeDocument/2006/relationships/image" Target="http://www.plataformaptec.com/imagenes/5b414460cd6e94205902d334f83013f2.jpg" TargetMode="External"/><Relationship Id="rId53" Type="http://schemas.openxmlformats.org/officeDocument/2006/relationships/hyperlink" Target="http://www.plataformaptec.es/ver-evento.php?id=839" TargetMode="External"/><Relationship Id="rId5" Type="http://schemas.openxmlformats.org/officeDocument/2006/relationships/image" Target="http://www.plataformaptec.com/imagenes/c97343b220d59eef30c4b2bc97dba263.png" TargetMode="External"/><Relationship Id="rId15" Type="http://schemas.openxmlformats.org/officeDocument/2006/relationships/image" Target="http://www.plataformaptec.com/imagenes/bc312bafcfef3f4ff0015255d1dabd09.png" TargetMode="External"/><Relationship Id="rId23" Type="http://schemas.openxmlformats.org/officeDocument/2006/relationships/image" Target="http://www.plataformaptec.com/imagenes/2d702ca161cf68219edb793efd3a8f2a.png" TargetMode="External"/><Relationship Id="rId28" Type="http://schemas.openxmlformats.org/officeDocument/2006/relationships/hyperlink" Target="http://www.plataformaptec.es/ver-noticia.php?id=3660" TargetMode="External"/><Relationship Id="rId36" Type="http://schemas.openxmlformats.org/officeDocument/2006/relationships/hyperlink" Target="http://www.plataformaptec.es/ver-noticia.php?id=3664" TargetMode="External"/><Relationship Id="rId49" Type="http://schemas.openxmlformats.org/officeDocument/2006/relationships/hyperlink" Target="http://www.plataformaptec.es/ver-evento.php?id=845" TargetMode="External"/><Relationship Id="rId57" Type="http://schemas.openxmlformats.org/officeDocument/2006/relationships/theme" Target="theme/theme1.xml"/><Relationship Id="rId10" Type="http://schemas.openxmlformats.org/officeDocument/2006/relationships/hyperlink" Target="http://www.plataformaptec.es/ver-noticia.php?id=3672" TargetMode="External"/><Relationship Id="rId19" Type="http://schemas.openxmlformats.org/officeDocument/2006/relationships/image" Target="http://www.plataformaptec.com/imagenes/27b3380319e7a6ea52b03abfdc53c3c2.png" TargetMode="External"/><Relationship Id="rId31" Type="http://schemas.openxmlformats.org/officeDocument/2006/relationships/image" Target="http://www.plataformaptec.com/imagenes/c12ae290b1512e7f24052bbc0ff44dfb.jpg" TargetMode="External"/><Relationship Id="rId44" Type="http://schemas.openxmlformats.org/officeDocument/2006/relationships/hyperlink" Target="http://www.plataformaptec.es/ver-noticia.php?id=3668" TargetMode="External"/><Relationship Id="rId52" Type="http://schemas.openxmlformats.org/officeDocument/2006/relationships/hyperlink" Target="http://www.plataformaptec.es/ver-evento.php?id=847" TargetMode="External"/><Relationship Id="rId4" Type="http://schemas.openxmlformats.org/officeDocument/2006/relationships/image" Target="media/image1.jpeg"/><Relationship Id="rId9" Type="http://schemas.openxmlformats.org/officeDocument/2006/relationships/image" Target="http://www.plataformaptec.com/imagenes/159f897c5f731206b8d4a2e5a6fb33f9.jpg" TargetMode="External"/><Relationship Id="rId14" Type="http://schemas.openxmlformats.org/officeDocument/2006/relationships/hyperlink" Target="http://www.plataformaptec.es/ver-noticia.php?id=3674" TargetMode="External"/><Relationship Id="rId22" Type="http://schemas.openxmlformats.org/officeDocument/2006/relationships/hyperlink" Target="http://www.plataformaptec.es/ver-noticia.php?id=3657" TargetMode="External"/><Relationship Id="rId27" Type="http://schemas.openxmlformats.org/officeDocument/2006/relationships/image" Target="http://www.plataformaptec.com/imagenes/b8663738c0909e56b4bfeabf1e62f2c6.jpg" TargetMode="External"/><Relationship Id="rId30" Type="http://schemas.openxmlformats.org/officeDocument/2006/relationships/hyperlink" Target="http://www.plataformaptec.es/ver-noticia.php?id=3661" TargetMode="External"/><Relationship Id="rId35" Type="http://schemas.openxmlformats.org/officeDocument/2006/relationships/image" Target="http://www.plataformaptec.com/imagenes/8240135c5ba583510216fb49cd5f24ba.gif" TargetMode="External"/><Relationship Id="rId43" Type="http://schemas.openxmlformats.org/officeDocument/2006/relationships/image" Target="http://www.plataformaptec.com/imagenes/9b9cd76eff8211fddb53e7aa822219b8.jpg" TargetMode="External"/><Relationship Id="rId48" Type="http://schemas.openxmlformats.org/officeDocument/2006/relationships/hyperlink" Target="http://www.plataformaptec.es/ver-evento.php?id=844" TargetMode="External"/><Relationship Id="rId56" Type="http://schemas.openxmlformats.org/officeDocument/2006/relationships/fontTable" Target="fontTable.xml"/><Relationship Id="rId8" Type="http://schemas.openxmlformats.org/officeDocument/2006/relationships/hyperlink" Target="http://www.plataformaptec.es/ver-noticia.php?id=3481" TargetMode="External"/><Relationship Id="rId51" Type="http://schemas.openxmlformats.org/officeDocument/2006/relationships/hyperlink" Target="http://www.plataformaptec.es/ver-evento.php?id=852"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2028</Words>
  <Characters>11155</Characters>
  <Application>Microsoft Office Word</Application>
  <DocSecurity>0</DocSecurity>
  <Lines>92</Lines>
  <Paragraphs>26</Paragraphs>
  <ScaleCrop>false</ScaleCrop>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2016-12-07T12:10:00Z</dcterms:created>
  <dcterms:modified xsi:type="dcterms:W3CDTF">2016-12-07T12:11:00Z</dcterms:modified>
</cp:coreProperties>
</file>