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3C17F1" w:rsidRPr="003C17F1" w:rsidTr="00F83B6B">
        <w:trPr>
          <w:tblCellSpacing w:w="0" w:type="dxa"/>
          <w:jc w:val="center"/>
        </w:trPr>
        <w:tc>
          <w:tcPr>
            <w:tcW w:w="0" w:type="auto"/>
            <w:tcBorders>
              <w:top w:val="single" w:sz="6" w:space="0" w:color="666666"/>
            </w:tcBorders>
            <w:shd w:val="clear" w:color="auto" w:fill="FFFFFF"/>
            <w:hideMark/>
          </w:tcPr>
          <w:p w:rsidR="003C17F1" w:rsidRPr="003C17F1" w:rsidRDefault="003C17F1" w:rsidP="003C17F1">
            <w:pPr>
              <w:spacing w:after="0" w:line="240" w:lineRule="auto"/>
              <w:rPr>
                <w:rFonts w:ascii="Arial" w:eastAsia="Times New Roman" w:hAnsi="Arial" w:cs="Arial"/>
                <w:color w:val="666666"/>
                <w:sz w:val="17"/>
                <w:szCs w:val="17"/>
                <w:lang w:eastAsia="es-ES"/>
              </w:rPr>
            </w:pPr>
            <w:r w:rsidRPr="003C17F1">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3C17F1" w:rsidRPr="003C17F1" w:rsidTr="00F83B6B">
        <w:trPr>
          <w:tblCellSpacing w:w="0" w:type="dxa"/>
          <w:jc w:val="center"/>
        </w:trPr>
        <w:tc>
          <w:tcPr>
            <w:tcW w:w="0" w:type="auto"/>
            <w:shd w:val="clear" w:color="auto" w:fill="FFFFFF"/>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3C17F1" w:rsidRPr="003C17F1" w:rsidTr="00F83B6B">
              <w:trPr>
                <w:trHeight w:val="180"/>
                <w:tblCellSpacing w:w="0" w:type="dxa"/>
                <w:jc w:val="center"/>
              </w:trPr>
              <w:tc>
                <w:tcPr>
                  <w:tcW w:w="0" w:type="auto"/>
                  <w:tcBorders>
                    <w:top w:val="nil"/>
                    <w:left w:val="nil"/>
                    <w:bottom w:val="nil"/>
                    <w:right w:val="nil"/>
                  </w:tcBorders>
                  <w:vAlign w:val="center"/>
                  <w:hideMark/>
                </w:tcPr>
                <w:p w:rsidR="003C17F1" w:rsidRPr="003C17F1" w:rsidRDefault="003C17F1" w:rsidP="003C17F1">
                  <w:pPr>
                    <w:spacing w:after="0" w:line="264" w:lineRule="auto"/>
                    <w:ind w:left="30"/>
                    <w:rPr>
                      <w:rFonts w:ascii="Arial" w:eastAsia="Times New Roman" w:hAnsi="Arial" w:cs="Arial"/>
                      <w:b/>
                      <w:bCs/>
                      <w:color w:val="0064AF"/>
                      <w:sz w:val="30"/>
                      <w:szCs w:val="30"/>
                      <w:lang w:eastAsia="es-ES"/>
                    </w:rPr>
                  </w:pPr>
                  <w:r w:rsidRPr="003C17F1">
                    <w:rPr>
                      <w:rFonts w:ascii="Arial" w:eastAsia="Times New Roman" w:hAnsi="Arial" w:cs="Arial"/>
                      <w:b/>
                      <w:bCs/>
                      <w:color w:val="0064AF"/>
                      <w:sz w:val="30"/>
                      <w:szCs w:val="30"/>
                      <w:lang w:eastAsia="es-ES"/>
                    </w:rPr>
                    <w:br/>
                    <w:t>Últimas Noticias</w:t>
                  </w:r>
                </w:p>
              </w:tc>
            </w:tr>
            <w:tr w:rsidR="003C17F1" w:rsidRPr="003C17F1" w:rsidTr="00F83B6B">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3C17F1" w:rsidRPr="003C17F1" w:rsidRDefault="003C17F1" w:rsidP="003C17F1">
                  <w:pPr>
                    <w:spacing w:after="0" w:line="240" w:lineRule="auto"/>
                    <w:rPr>
                      <w:rFonts w:ascii="Arial" w:eastAsia="Times New Roman" w:hAnsi="Arial" w:cs="Arial"/>
                      <w:b/>
                      <w:bCs/>
                      <w:color w:val="FFFFFF"/>
                      <w:sz w:val="26"/>
                      <w:szCs w:val="26"/>
                      <w:lang w:eastAsia="es-ES"/>
                    </w:rPr>
                  </w:pPr>
                  <w:r w:rsidRPr="003C17F1">
                    <w:rPr>
                      <w:rFonts w:ascii="Arial" w:eastAsia="Times New Roman" w:hAnsi="Arial" w:cs="Arial"/>
                      <w:b/>
                      <w:bCs/>
                      <w:color w:val="FFFFFF"/>
                      <w:sz w:val="26"/>
                      <w:szCs w:val="26"/>
                      <w:lang w:eastAsia="es-ES"/>
                    </w:rPr>
                    <w:t>    NOTICIAS DE LA PTEC</w:t>
                  </w: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 xml:space="preserve">Boletín PTEC 30/01/2017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3" name="Imagen 23" descr="Boletín PTEC 30/01/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30/01/2017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Esta semana, PTEC ha asistido a la reunión de REFINET y ha inaugurado su canal Youtube al que se están subiendo los videos de las presentaciones llevadas a cabo en el 12º Foro PTEC celebrado en Sevilla el 15 de noviembre. Además, se ha incorporado a PTEC Ingeniería Insitu, PYME pionera en prestación d...</w:t>
                        </w:r>
                        <w:hyperlink r:id="rId6"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 xml:space="preserve">REFINET article in ninth issue of FIRM magazine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233680"/>
                              <wp:effectExtent l="0" t="0" r="0" b="13970"/>
                              <wp:wrapSquare wrapText="bothSides"/>
                              <wp:docPr id="22" name="Imagen 22" descr="REFINET article in ninth issue of FIRM magaz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INET article in ninth issue of FIRM magazine "/>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Ninth Issue of FIRM magazine includes a new REFINET article where main activities carried out during the second part of 2016 are explained.</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Click here for download the magazine</w:t>
                        </w:r>
                        <w:r w:rsidRPr="003C17F1">
                          <w:rPr>
                            <w:rFonts w:ascii="Arial" w:eastAsia="Times New Roman" w:hAnsi="Arial" w:cs="Arial"/>
                            <w:color w:val="000000"/>
                            <w:sz w:val="17"/>
                            <w:szCs w:val="17"/>
                            <w:lang w:eastAsia="es-ES"/>
                          </w:rPr>
                          <w:br/>
                        </w:r>
                        <w:hyperlink r:id="rId8"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PTEC at REFINET SC meeting (Tecnalia, Bilbao, January 25-26th, 2017)</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233680"/>
                              <wp:effectExtent l="0" t="0" r="0" b="13970"/>
                              <wp:wrapSquare wrapText="bothSides"/>
                              <wp:docPr id="21" name="Imagen 21" descr="PTEC at REFINET SC meeting (Tecnalia, Bilbao, January 25-26t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EC at REFINET SC meeting (Tecnalia, Bilbao, January 25-26th, 201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REFINET Coordination Support Action (</w:t>
                        </w:r>
                        <w:hyperlink r:id="rId10" w:history="1">
                          <w:r w:rsidRPr="003C17F1">
                            <w:rPr>
                              <w:rFonts w:ascii="Arial" w:eastAsia="Times New Roman" w:hAnsi="Arial" w:cs="Arial"/>
                              <w:color w:val="666666"/>
                              <w:sz w:val="17"/>
                              <w:szCs w:val="17"/>
                              <w:u w:val="single"/>
                              <w:lang w:eastAsia="es-ES"/>
                            </w:rPr>
                            <w:t>www.refinet.eu</w:t>
                          </w:r>
                        </w:hyperlink>
                        <w:r w:rsidRPr="003C17F1">
                          <w:rPr>
                            <w:rFonts w:ascii="Arial" w:eastAsia="Times New Roman" w:hAnsi="Arial" w:cs="Arial"/>
                            <w:color w:val="000000"/>
                            <w:sz w:val="17"/>
                            <w:szCs w:val="17"/>
                            <w:lang w:eastAsia="es-ES"/>
                          </w:rPr>
                          <w:t>) is working on innovation in transport infrastructures and the Steering Committee met in Tecnalia, Bilbao, with CSTB as chairman and with the participation of Arup, D’Appolonia, Dragados, FEHRL, PTEC, Tecnalia and UIC.</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 xml:space="preserve">During this meeting, it was decided the organisation of the last REFINET workshop with the consor... </w:t>
                        </w:r>
                        <w:hyperlink r:id="rId11"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PTEC inaugura su canal youtube</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357505"/>
                              <wp:effectExtent l="0" t="0" r="0" b="4445"/>
                              <wp:wrapSquare wrapText="bothSides"/>
                              <wp:docPr id="20" name="Imagen 20" descr="PTEC inaugura su canal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C inaugura su canal youtube"/>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Con objeto de aumentar las vías de difusión de sus actividades, PTEC ha creado un canal en YOUTUBE que inauguramos difundiendo los videos del 12º Foro PTEC: la innovación en los procesos de construcción, celebrado en Sevilla el pasado 15 de noviembre.</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 xml:space="preserve">Esta semana se publican los videos correspondientes a la primera sesión del Foro en la que se trataron los siguientes... </w:t>
                        </w:r>
                        <w:hyperlink r:id="rId13"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INSITU Ingeniería se incorpora a la PTEC</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760095"/>
                              <wp:effectExtent l="0" t="0" r="0" b="1905"/>
                              <wp:wrapSquare wrapText="bothSides"/>
                              <wp:docPr id="19" name="Imagen 19" descr="INSITU Ingeniería se incorpora a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ITU Ingeniería se incorpora a la PTEC"/>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 xml:space="preserve">INGENIERIA INSITU es una PYME pionera en España en prestación de servicios ingeniería geomática innovadora. Capacidades con departamentos de producción, desarrollo TIC y formación técnica especializada nos han hecho referente del sector y han permitido la internacionalización de servicios en países tan diversos como Brasil, Portugal, Francia, Bélgica o Panamá. La innovación... </w:t>
                        </w:r>
                        <w:hyperlink r:id="rId15"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Ferrovial ‘core partner’ del EIT Digital, European Institute of Innovation and Technology</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8" name="Imagen 18" descr="Ferrovial ‘core partner’ del EIT Digital, European Institute of Innovation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rrovial ‘core partner’ del EIT Digital, European Institute of Innovation and Technology"/>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 xml:space="preserve">Ferrovial ha sido admitido como socio de pleno derecho “core partner” del European Institute of Innovation and Technology (EIT) a través del área de conocimiento e innovación digital (Digital KIC). De esta manera se integra en una organización líder en innovación abierta y cuyo objetivo es fomentar la competitividad de la Unión Europea, para encontrar nuevas so... </w:t>
                        </w:r>
                        <w:hyperlink r:id="rId17"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ONYX Solar has participated in a European Project for developing efficient, organic photovoltaic cells for indoor and outdoor applications</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361950"/>
                              <wp:effectExtent l="0" t="0" r="0" b="0"/>
                              <wp:wrapSquare wrapText="bothSides"/>
                              <wp:docPr id="17" name="Imagen 17" descr="ONYX Solar has participated in a European Project for developing efficient, organic photovoltaic cells for indoor and outdoor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YX Solar has participated in a European Project for developing efficient, organic photovoltaic cells for indoor and outdoor applications"/>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Organic photovoltaics (OPV) may cost less than their silicon counterparts, but their performance remains off-putting to this day. A consortium of European research groups and industries recently demonstrated free-form organic solar modules for three specific, indoor and outdoor applications that should help put such concerns to bed.</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 xml:space="preserve">Over its three years of intensive resea... </w:t>
                        </w:r>
                        <w:hyperlink r:id="rId19"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REMOURBAN - Exploitation Infopack</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972820"/>
                              <wp:effectExtent l="0" t="0" r="0" b="17780"/>
                              <wp:wrapSquare wrapText="bothSides"/>
                              <wp:docPr id="16" name="Imagen 16" descr="REMOURBAN - Exploitation Info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MOURBAN - Exploitation Infopack"/>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 xml:space="preserve">The smart city project REMOURBAN invites you to join the project’s network and receive some valuable exploitation information (regarding technological, commercial or academical innovations and their implementation). </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ACCIONA and CARTIF participate in the project</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Click here to benefit from this service and receive the REMOURBAN Information packages.</w:t>
                        </w:r>
                        <w:r w:rsidRPr="003C17F1">
                          <w:rPr>
                            <w:rFonts w:ascii="Arial" w:eastAsia="Times New Roman" w:hAnsi="Arial" w:cs="Arial"/>
                            <w:color w:val="000000"/>
                            <w:sz w:val="17"/>
                            <w:szCs w:val="17"/>
                            <w:lang w:eastAsia="es-ES"/>
                          </w:rPr>
                          <w:br/>
                        </w:r>
                        <w:hyperlink r:id="rId21"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Do you keep your critical infrastructure resilient towards extreme weather events? Find out at the INTACT End Event.</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509905"/>
                              <wp:effectExtent l="0" t="0" r="0" b="4445"/>
                              <wp:wrapSquare wrapText="bothSides"/>
                              <wp:docPr id="15" name="Imagen 15" descr="Do you keep your critical infrastructure resilient towards extreme weather events? Find out at the INTACT End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 you keep your critical infrastructure resilient towards extreme weather events? Find out at the INTACT End Event."/>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 xml:space="preserve">Extreme weather events (EWE) become the new normal according to a recent study by the United Nations. Resilience of Critical Infrastructure (CI) to Extreme Weather Events (EWE), such as heavy rainfall, drought or icing, is already one of the most demanding challenges for both government and society. Extreme Weather (EW) causes severe threats to the well-functioning of CI an... </w:t>
                        </w:r>
                        <w:hyperlink r:id="rId23"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PERFORMER project: evaluation of demonstration phase &amp; best practices</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730250"/>
                              <wp:effectExtent l="0" t="0" r="0" b="12700"/>
                              <wp:wrapSquare wrapText="bothSides"/>
                              <wp:docPr id="14" name="Imagen 14" descr="PERFORMER project: evaluation of demonstration phase &amp; best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FORMER project: evaluation of demonstration phase &amp; best practices"/>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The main goal of the FP7 PERFORMER project is to develop, install and finally assess an innovative integrated concept for monitoring and evaluating building energy performance (the gap between predicted and actual building energy performance is addressed by the project).The results are being tested at four demonstration sites in France, United Kingdom, Spain and Poland.</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 xml:space="preserve">... </w:t>
                        </w:r>
                        <w:hyperlink r:id="rId25"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OHL, entre las compañías de europeas que más invierten en I+D</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537210"/>
                              <wp:effectExtent l="0" t="0" r="0" b="15240"/>
                              <wp:wrapSquare wrapText="bothSides"/>
                              <wp:docPr id="13" name="Imagen 13" descr="OHL, entre las compañías de europeas que más invierten en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HL, entre las compañías de europeas que más invierten en I+D"/>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 xml:space="preserve">OHL es una de las 1.000 compañías europeas que más invierten en I+D, según datos recogidos en el EU Industrial R&amp;D Investment Scoreboard 2016. El informe, publicado anualmente por la Comisión Europea (CE), clasifica las 2.500 mayores empresas del mundo en función de su inversión en investigación y desarrollo, a partir de datos de empresas pertenecientes a diversos sectores ... </w:t>
                        </w:r>
                        <w:hyperlink r:id="rId27"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El tercer edificio de CARTIF, demostrador del proyecto INSITER</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283210"/>
                              <wp:effectExtent l="0" t="0" r="0" b="2540"/>
                              <wp:wrapSquare wrapText="bothSides"/>
                              <wp:docPr id="12" name="Imagen 12" descr="El tercer edificio de CARTIF, demostrador del proyecto INS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 tercer edificio de CARTIF, demostrador del proyecto INSITER"/>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 xml:space="preserve">CARTIF 3 está construido con paneles prefabricados y tiene emisiones casi nulas, características muy adecuadas para demostrar los métodos, herramientas informáticas y equipos propuestos por el proyecto europeo. </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 xml:space="preserve">Con el objetivo de definir las herramientas que se emplearán en las tareas de autoinspección y autoinstrucción en este edificio, el equipo de trabajo de Tecnologí... </w:t>
                        </w:r>
                        <w:hyperlink r:id="rId29"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Ayudas para la contratación de investigadores posdoctorales en la UPM</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934720"/>
                              <wp:effectExtent l="0" t="0" r="0" b="17780"/>
                              <wp:wrapSquare wrapText="bothSides"/>
                              <wp:docPr id="11" name="Imagen 11" descr="Ayudas para la contratación de investigadores posdoctorales en la 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yudas para la contratación de investigadores posdoctorales en la UPM"/>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En el BOCAM de fecha 16 de enero de 2017 se ha publicado la resolución de la concesión de ayudas para la contratación de investigadores posdoctorales. Aún existen plazas vacantes, que se indican en el documento adjunto con una breve</w:t>
                        </w:r>
                        <w:r w:rsidRPr="003C17F1">
                          <w:rPr>
                            <w:rFonts w:ascii="Arial" w:eastAsia="Times New Roman" w:hAnsi="Arial" w:cs="Arial"/>
                            <w:color w:val="000000"/>
                            <w:sz w:val="17"/>
                            <w:szCs w:val="17"/>
                            <w:lang w:eastAsia="es-ES"/>
                          </w:rPr>
                          <w:br/>
                          <w:t>descripción del puesto y la persona de contacto.</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 xml:space="preserve">Los requisitos comunes a todos los puestos son: </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 xml:space="preserve">Estar empadronado en la Comunidad de Madr... </w:t>
                        </w:r>
                        <w:hyperlink r:id="rId31"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3C17F1" w:rsidRPr="003C17F1" w:rsidRDefault="003C17F1" w:rsidP="003C17F1">
                  <w:pPr>
                    <w:spacing w:after="0" w:line="240" w:lineRule="auto"/>
                    <w:rPr>
                      <w:rFonts w:ascii="Arial" w:eastAsia="Times New Roman" w:hAnsi="Arial" w:cs="Arial"/>
                      <w:b/>
                      <w:bCs/>
                      <w:color w:val="FFFFFF"/>
                      <w:sz w:val="26"/>
                      <w:szCs w:val="26"/>
                      <w:lang w:eastAsia="es-ES"/>
                    </w:rPr>
                  </w:pPr>
                  <w:r w:rsidRPr="003C17F1">
                    <w:rPr>
                      <w:rFonts w:ascii="Arial" w:eastAsia="Times New Roman" w:hAnsi="Arial" w:cs="Arial"/>
                      <w:b/>
                      <w:bCs/>
                      <w:color w:val="FFFFFF"/>
                      <w:sz w:val="26"/>
                      <w:szCs w:val="26"/>
                      <w:lang w:eastAsia="es-ES"/>
                    </w:rPr>
                    <w:t>    NOTICIAS INTERNACIONALES</w:t>
                  </w: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Publicada Guía de Buenas Prácticas sobre aspectos financieros en la gestión de proyectos de FP7 y H2020: “Managing VII FP and H2020 Projects. Guide to Best Practice – Financial Issues. Based on BESTPRAC members’ experience”</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1130300"/>
                              <wp:effectExtent l="0" t="0" r="0" b="12700"/>
                              <wp:wrapSquare wrapText="bothSides"/>
                              <wp:docPr id="10" name="Imagen 10" descr="Publicada Guía de Buenas Prácticas sobre aspectos financieros en la gestión de proyectos de FP7 y H2020: “Managing VII FP and H2020 Projects. Guide to Best Practice – Financial Issues. Based on BESTPRAC members’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blicada Guía de Buenas Prácticas sobre aspectos financieros en la gestión de proyectos de FP7 y H2020: “Managing VII FP and H2020 Projects. Guide to Best Practice – Financial Issues. Based on BESTPRAC members’ experience”"/>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 xml:space="preserve">En el marco de la Red BESTPRACT, financiada por el programa COST, se ha publicado una guía de buenas prácticas para abordar la gestión de aspectos financieros en los proyectos de FP7 y Horizonte 2020. La guía ha sido elaborada por varias universidades y centros de investigación europeos participantes en la Red Estratégica de COST y los autores son expertos en la gestión de ... </w:t>
                        </w:r>
                        <w:hyperlink r:id="rId33"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Two new leaflets on project communication available</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387985"/>
                              <wp:effectExtent l="0" t="0" r="0" b="12065"/>
                              <wp:wrapSquare wrapText="bothSides"/>
                              <wp:docPr id="9" name="Imagen 9" descr="Two new leaflets on project communica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wo new leaflets on project communication available"/>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How to communicate and promote your project, how can INEA help you? Visibility and communication are two requirements for all EU-funded projects and INEA has prepared short communication guidelines targeted to beneficiaries receiving funding from the Connecting Europe Facility (CEF) and the Horizon 2020 programme.</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 xml:space="preserve">For CEF, check our Communicating CEF projects guidelines ... </w:t>
                        </w:r>
                        <w:hyperlink r:id="rId35"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ECTP Energy efficient buildings technologies webinars</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537845"/>
                              <wp:effectExtent l="0" t="0" r="0" b="14605"/>
                              <wp:wrapSquare wrapText="bothSides"/>
                              <wp:docPr id="8" name="Imagen 8" descr="ECTP Energy efficient buildings technologies webin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TP Energy efficient buildings technologies webinars"/>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525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 xml:space="preserve">To share success stories and increase awareness on promising technologies among the EeB PPP projects, 7 webinars were organised in the framework of EeB-CA2 CSA, whose ECTP is a partner, in October and November 2016 . </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 xml:space="preserve">The selected technologies were identified among EeB PPP projects through innovation assessments. The fields of technologies were defined according to the co... </w:t>
                        </w:r>
                        <w:hyperlink r:id="rId37"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EU Building Stock Observatory available online</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7" name="Imagen 7" descr="EU Building Stock Observatory availabl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U Building Stock Observatory available online"/>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 xml:space="preserve">Together with the EU ‘Clean Energy for All package’, the European Commission launched in November 2016 the EU Building Stock Observatory. This tool monitors the energy performance of buildings across Europe. It assesses improvements in the energy efficiency of buildings and how this impacts the actual energy consumption of the buildings sector overall. The Obser... </w:t>
                        </w:r>
                        <w:hyperlink r:id="rId39"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EASME webinar recordings and presentations | 60-minute comms workout</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6" name="Imagen 6" descr="EASME webinar recordings and presentations | 60-minute comms wor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SME webinar recordings and presentations | 60-minute comms workout"/>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On 17 January 2017, the Executive Agency for Small and Medium-sized Enterprises (EASME) organised a one-hour interactive webinar to provide those interested in communicating their projects with ideas on how to increase their outreach and learn from successful EU-funded projects.</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The webinar's recordings and presentations are now available at this link</w:t>
                        </w:r>
                        <w:r w:rsidRPr="003C17F1">
                          <w:rPr>
                            <w:rFonts w:ascii="Arial" w:eastAsia="Times New Roman" w:hAnsi="Arial" w:cs="Arial"/>
                            <w:color w:val="000000"/>
                            <w:sz w:val="17"/>
                            <w:szCs w:val="17"/>
                            <w:lang w:eastAsia="es-ES"/>
                          </w:rPr>
                          <w:br/>
                        </w:r>
                        <w:hyperlink r:id="rId41"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European Commission: New guidance for sub-metering of thermal energy in multi-unit buildings</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349885"/>
                              <wp:effectExtent l="0" t="0" r="0" b="12065"/>
                              <wp:wrapSquare wrapText="bothSides"/>
                              <wp:docPr id="5" name="Imagen 5" descr="European Commission: New guidance for sub-metering of thermal energy in multi-unit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ropean Commission: New guidance for sub-metering of thermal energy in multi-unit buildings"/>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95250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Following the guidance's initial publication in June 2016, the European Commission releases it anew, after its refinement and elaboration resulting from a series of workshops with representatives of national authorities and stakeholders.</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 xml:space="preserve">This good practice guidance aims to help implement the EU's Energy Efficiency Directive (EED). The Directive requires individual measure... </w:t>
                        </w:r>
                        <w:hyperlink r:id="rId43"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Sustainable and safe buildings for all environments</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583565"/>
                              <wp:effectExtent l="0" t="0" r="0" b="6985"/>
                              <wp:wrapSquare wrapText="bothSides"/>
                              <wp:docPr id="4" name="Imagen 4" descr="Sustainable and safe buildings for all enviro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stainable and safe buildings for all environments"/>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95250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 xml:space="preserve">Efficient structural design is a prerequisite of safe, resilient and sustainable building construction. Local climatic, geographical and geological conditions (e.g. snow loads, earthquakes) affect the performance of buildings in terms of safety and sustainability, having a direct impact on construction cost and quality of life. Such parameters are described through climatic... </w:t>
                        </w:r>
                        <w:hyperlink r:id="rId45"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C17F1" w:rsidRPr="003C17F1" w:rsidTr="00F83B6B">
                          <w:trPr>
                            <w:tblCellSpacing w:w="0" w:type="dxa"/>
                          </w:trPr>
                          <w:tc>
                            <w:tcPr>
                              <w:tcW w:w="0" w:type="auto"/>
                              <w:tcBorders>
                                <w:top w:val="nil"/>
                                <w:left w:val="nil"/>
                                <w:bottom w:val="nil"/>
                                <w:right w:val="nil"/>
                              </w:tcBorders>
                              <w:vAlign w:val="center"/>
                              <w:hideMark/>
                            </w:tcPr>
                            <w:p w:rsidR="003C17F1" w:rsidRPr="003C17F1" w:rsidRDefault="003C17F1" w:rsidP="003C17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C17F1">
                                <w:rPr>
                                  <w:rFonts w:ascii="Arial" w:eastAsia="Times New Roman" w:hAnsi="Arial" w:cs="Arial"/>
                                  <w:b/>
                                  <w:bCs/>
                                  <w:color w:val="0064AF"/>
                                  <w:sz w:val="23"/>
                                  <w:szCs w:val="23"/>
                                  <w:lang w:eastAsia="es-ES"/>
                                </w:rPr>
                                <w:t>Taller GlobalStars Call: proyectos de cooperación tecnológica con ARGENTINA y otros países Eureka (Austria, Francia, Sudáfrica y Turquía)</w:t>
                              </w:r>
                              <w:r w:rsidRPr="003C17F1">
                                <w:rPr>
                                  <w:rFonts w:ascii="Arial" w:eastAsia="Times New Roman" w:hAnsi="Arial" w:cs="Arial"/>
                                  <w:b/>
                                  <w:bCs/>
                                  <w:color w:val="0064AF"/>
                                  <w:sz w:val="14"/>
                                  <w:szCs w:val="14"/>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r>
                  <w:tr w:rsidR="003C17F1" w:rsidRPr="003C17F1" w:rsidTr="00F83B6B">
                    <w:trPr>
                      <w:trHeight w:val="120"/>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C17F1" w:rsidRPr="003C17F1" w:rsidRDefault="003C17F1" w:rsidP="003C17F1">
                        <w:pPr>
                          <w:spacing w:after="100" w:afterAutospacing="1" w:line="300" w:lineRule="auto"/>
                          <w:ind w:left="30" w:right="60"/>
                          <w:rPr>
                            <w:rFonts w:ascii="Arial" w:eastAsia="Times New Roman" w:hAnsi="Arial" w:cs="Arial"/>
                            <w:color w:val="000000"/>
                            <w:sz w:val="17"/>
                            <w:szCs w:val="17"/>
                            <w:lang w:eastAsia="es-ES"/>
                          </w:rPr>
                        </w:pPr>
                        <w:r w:rsidRPr="003C17F1">
                          <w:rPr>
                            <w:rFonts w:ascii="Times New Roman" w:eastAsia="Times New Roman" w:hAnsi="Times New Roman" w:cs="Times New Roman"/>
                            <w:noProof/>
                            <w:sz w:val="24"/>
                            <w:szCs w:val="24"/>
                            <w:lang w:eastAsia="es-ES"/>
                          </w:rPr>
                          <w:drawing>
                            <wp:anchor distT="30480" distB="30480" distL="30480" distR="30480" simplePos="0" relativeHeight="251679744" behindDoc="0" locked="0" layoutInCell="1" allowOverlap="0">
                              <wp:simplePos x="0" y="0"/>
                              <wp:positionH relativeFrom="column">
                                <wp:align>right</wp:align>
                              </wp:positionH>
                              <wp:positionV relativeFrom="line">
                                <wp:posOffset>0</wp:posOffset>
                              </wp:positionV>
                              <wp:extent cx="952500" cy="999490"/>
                              <wp:effectExtent l="0" t="0" r="0" b="10160"/>
                              <wp:wrapSquare wrapText="bothSides"/>
                              <wp:docPr id="3" name="Imagen 3" descr="Taller GlobalStars Call: proyectos de cooperación tecnológica con ARGENTINA y otros países Eureka (Austria, Francia, Sudáfrica y Turqu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ller GlobalStars Call: proyectos de cooperación tecnológica con ARGENTINA y otros países Eureka (Austria, Francia, Sudáfrica y Turquía)"/>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95250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F1">
                          <w:rPr>
                            <w:rFonts w:ascii="Arial" w:eastAsia="Times New Roman" w:hAnsi="Arial" w:cs="Arial"/>
                            <w:color w:val="000000"/>
                            <w:sz w:val="17"/>
                            <w:szCs w:val="17"/>
                            <w:lang w:eastAsia="es-ES"/>
                          </w:rPr>
                          <w:t>Se encuentra abierta la Convocatoria piloto Globalstars entre Argentina, España y otros países de la Red Eureka (Austria, Francia, Sudáfrica y Turquía), para el desarrollo de proyectos empresariales de cooperación tecnológica internacional.</w:t>
                        </w:r>
                        <w:r w:rsidRPr="003C17F1">
                          <w:rPr>
                            <w:rFonts w:ascii="Arial" w:eastAsia="Times New Roman" w:hAnsi="Arial" w:cs="Arial"/>
                            <w:color w:val="000000"/>
                            <w:sz w:val="17"/>
                            <w:szCs w:val="17"/>
                            <w:lang w:eastAsia="es-ES"/>
                          </w:rPr>
                          <w:br/>
                        </w:r>
                        <w:r w:rsidRPr="003C17F1">
                          <w:rPr>
                            <w:rFonts w:ascii="Arial" w:eastAsia="Times New Roman" w:hAnsi="Arial" w:cs="Arial"/>
                            <w:color w:val="000000"/>
                            <w:sz w:val="17"/>
                            <w:szCs w:val="17"/>
                            <w:lang w:eastAsia="es-ES"/>
                          </w:rPr>
                          <w:br/>
                          <w:t xml:space="preserve">Para el caso de las propuestas apoyadas por España y presentadas a esta convocatoria el consorcio mínimo debe estar compuesto por un... </w:t>
                        </w:r>
                        <w:hyperlink r:id="rId47" w:history="1">
                          <w:r w:rsidRPr="003C17F1">
                            <w:rPr>
                              <w:rFonts w:ascii="Arial" w:eastAsia="Times New Roman" w:hAnsi="Arial" w:cs="Arial"/>
                              <w:b/>
                              <w:bCs/>
                              <w:color w:val="CC0000"/>
                              <w:sz w:val="15"/>
                              <w:szCs w:val="15"/>
                              <w:u w:val="single"/>
                              <w:lang w:eastAsia="es-ES"/>
                            </w:rPr>
                            <w:t>Ver noticia completa</w:t>
                          </w:r>
                        </w:hyperlink>
                        <w:r w:rsidRPr="003C17F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C17F1" w:rsidRPr="003C17F1" w:rsidTr="00F83B6B">
                    <w:trPr>
                      <w:trHeight w:val="120"/>
                      <w:tblCellSpacing w:w="0" w:type="dxa"/>
                      <w:jc w:val="center"/>
                    </w:trPr>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3C17F1" w:rsidRPr="003C17F1" w:rsidRDefault="003C17F1" w:rsidP="003C17F1">
                        <w:pPr>
                          <w:spacing w:after="0" w:line="264" w:lineRule="auto"/>
                          <w:ind w:left="30"/>
                          <w:rPr>
                            <w:rFonts w:ascii="Arial" w:eastAsia="Times New Roman" w:hAnsi="Arial" w:cs="Arial"/>
                            <w:b/>
                            <w:bCs/>
                            <w:color w:val="AA0000"/>
                            <w:sz w:val="30"/>
                            <w:szCs w:val="30"/>
                            <w:lang w:eastAsia="es-ES"/>
                          </w:rPr>
                        </w:pPr>
                        <w:r w:rsidRPr="003C17F1">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3C17F1" w:rsidRPr="003C17F1" w:rsidTr="00F83B6B">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3C17F1" w:rsidRPr="003C17F1" w:rsidRDefault="003C17F1" w:rsidP="003C17F1">
                              <w:pPr>
                                <w:spacing w:after="0" w:line="240" w:lineRule="auto"/>
                                <w:rPr>
                                  <w:rFonts w:ascii="Arial" w:eastAsia="Times New Roman" w:hAnsi="Arial" w:cs="Arial"/>
                                  <w:b/>
                                  <w:bCs/>
                                  <w:color w:val="FFFFFF"/>
                                  <w:sz w:val="26"/>
                                  <w:szCs w:val="26"/>
                                  <w:lang w:eastAsia="es-ES"/>
                                </w:rPr>
                              </w:pPr>
                              <w:r w:rsidRPr="003C17F1">
                                <w:rPr>
                                  <w:rFonts w:ascii="Arial" w:eastAsia="Times New Roman" w:hAnsi="Arial" w:cs="Arial"/>
                                  <w:b/>
                                  <w:bCs/>
                                  <w:color w:val="FFFFFF"/>
                                  <w:sz w:val="26"/>
                                  <w:szCs w:val="26"/>
                                  <w:lang w:eastAsia="es-ES"/>
                                </w:rPr>
                                <w:t xml:space="preserve">    EVENTOS DE LA PTEC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30 de Enero de 2017 </w:t>
                              </w:r>
                              <w:r w:rsidRPr="003C17F1">
                                <w:rPr>
                                  <w:rFonts w:ascii="Arial" w:eastAsia="Times New Roman" w:hAnsi="Arial" w:cs="Arial"/>
                                  <w:color w:val="000000"/>
                                  <w:sz w:val="17"/>
                                  <w:szCs w:val="17"/>
                                  <w:lang w:eastAsia="es-ES"/>
                                </w:rPr>
                                <w:t xml:space="preserve">Comisión Delegada PTEC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07 de Febrero de 2017 </w:t>
                              </w:r>
                              <w:r w:rsidRPr="003C17F1">
                                <w:rPr>
                                  <w:rFonts w:ascii="Arial" w:eastAsia="Times New Roman" w:hAnsi="Arial" w:cs="Arial"/>
                                  <w:color w:val="000000"/>
                                  <w:sz w:val="17"/>
                                  <w:szCs w:val="17"/>
                                  <w:lang w:eastAsia="es-ES"/>
                                </w:rPr>
                                <w:t xml:space="preserve">GT Internacionalización 2017-1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08 de Febrero de 2017 </w:t>
                              </w:r>
                              <w:r w:rsidRPr="003C17F1">
                                <w:rPr>
                                  <w:rFonts w:ascii="Arial" w:eastAsia="Times New Roman" w:hAnsi="Arial" w:cs="Arial"/>
                                  <w:color w:val="000000"/>
                                  <w:sz w:val="17"/>
                                  <w:szCs w:val="17"/>
                                  <w:lang w:eastAsia="es-ES"/>
                                </w:rPr>
                                <w:t xml:space="preserve">GT Innovación 2017-1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27 de Febrero de 2017 </w:t>
                              </w:r>
                              <w:r w:rsidRPr="003C17F1">
                                <w:rPr>
                                  <w:rFonts w:ascii="Arial" w:eastAsia="Times New Roman" w:hAnsi="Arial" w:cs="Arial"/>
                                  <w:color w:val="000000"/>
                                  <w:sz w:val="17"/>
                                  <w:szCs w:val="17"/>
                                  <w:lang w:eastAsia="es-ES"/>
                                </w:rPr>
                                <w:t xml:space="preserve">Comisión Delegada PTEC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28 de Febrero de 2017 </w:t>
                              </w:r>
                              <w:r w:rsidRPr="003C17F1">
                                <w:rPr>
                                  <w:rFonts w:ascii="Arial" w:eastAsia="Times New Roman" w:hAnsi="Arial" w:cs="Arial"/>
                                  <w:color w:val="000000"/>
                                  <w:sz w:val="17"/>
                                  <w:szCs w:val="17"/>
                                  <w:lang w:eastAsia="es-ES"/>
                                </w:rPr>
                                <w:t xml:space="preserve">GT Infraestructuras del transporte 2017-1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01 de Marzo de 2017 </w:t>
                              </w:r>
                              <w:r w:rsidRPr="003C17F1">
                                <w:rPr>
                                  <w:rFonts w:ascii="Arial" w:eastAsia="Times New Roman" w:hAnsi="Arial" w:cs="Arial"/>
                                  <w:color w:val="000000"/>
                                  <w:sz w:val="17"/>
                                  <w:szCs w:val="17"/>
                                  <w:lang w:eastAsia="es-ES"/>
                                </w:rPr>
                                <w:t xml:space="preserve">GT La ciudad del futuro 2017-1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02 de Marzo de 2017 </w:t>
                              </w:r>
                              <w:r w:rsidRPr="003C17F1">
                                <w:rPr>
                                  <w:rFonts w:ascii="Arial" w:eastAsia="Times New Roman" w:hAnsi="Arial" w:cs="Arial"/>
                                  <w:color w:val="000000"/>
                                  <w:sz w:val="17"/>
                                  <w:szCs w:val="17"/>
                                  <w:lang w:eastAsia="es-ES"/>
                                </w:rPr>
                                <w:t xml:space="preserve">GT Procesos de construcción 2017-1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02 de Marzo de 2017 </w:t>
                              </w:r>
                              <w:r w:rsidRPr="003C17F1">
                                <w:rPr>
                                  <w:rFonts w:ascii="Arial" w:eastAsia="Times New Roman" w:hAnsi="Arial" w:cs="Arial"/>
                                  <w:color w:val="000000"/>
                                  <w:sz w:val="17"/>
                                  <w:szCs w:val="17"/>
                                  <w:lang w:eastAsia="es-ES"/>
                                </w:rPr>
                                <w:t xml:space="preserve">GTE SS 2017-1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07 de Marzo de 2017 </w:t>
                              </w:r>
                              <w:r w:rsidRPr="003C17F1">
                                <w:rPr>
                                  <w:rFonts w:ascii="Arial" w:eastAsia="Times New Roman" w:hAnsi="Arial" w:cs="Arial"/>
                                  <w:color w:val="000000"/>
                                  <w:sz w:val="17"/>
                                  <w:szCs w:val="17"/>
                                  <w:lang w:eastAsia="es-ES"/>
                                </w:rPr>
                                <w:t xml:space="preserve">REFINET workshop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lastRenderedPageBreak/>
                                <w:t xml:space="preserve">21 de Marzo de 2017 </w:t>
                              </w:r>
                              <w:r w:rsidRPr="003C17F1">
                                <w:rPr>
                                  <w:rFonts w:ascii="Arial" w:eastAsia="Times New Roman" w:hAnsi="Arial" w:cs="Arial"/>
                                  <w:color w:val="000000"/>
                                  <w:sz w:val="17"/>
                                  <w:szCs w:val="17"/>
                                  <w:lang w:eastAsia="es-ES"/>
                                </w:rPr>
                                <w:t xml:space="preserve">NTPs meeting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22 de Marzo de 2017 </w:t>
                              </w:r>
                              <w:r w:rsidRPr="003C17F1">
                                <w:rPr>
                                  <w:rFonts w:ascii="Arial" w:eastAsia="Times New Roman" w:hAnsi="Arial" w:cs="Arial"/>
                                  <w:color w:val="000000"/>
                                  <w:sz w:val="17"/>
                                  <w:szCs w:val="17"/>
                                  <w:lang w:eastAsia="es-ES"/>
                                </w:rPr>
                                <w:t xml:space="preserve">9º Taller PTEC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29 de Marzo de 2017 </w:t>
                              </w:r>
                              <w:r w:rsidRPr="003C17F1">
                                <w:rPr>
                                  <w:rFonts w:ascii="Arial" w:eastAsia="Times New Roman" w:hAnsi="Arial" w:cs="Arial"/>
                                  <w:color w:val="000000"/>
                                  <w:sz w:val="17"/>
                                  <w:szCs w:val="17"/>
                                  <w:lang w:eastAsia="es-ES"/>
                                </w:rPr>
                                <w:t xml:space="preserve">CP PTEC 2017-1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05 de Abril de 2017 </w:t>
                              </w:r>
                              <w:r w:rsidRPr="003C17F1">
                                <w:rPr>
                                  <w:rFonts w:ascii="Arial" w:eastAsia="Times New Roman" w:hAnsi="Arial" w:cs="Arial"/>
                                  <w:color w:val="000000"/>
                                  <w:sz w:val="17"/>
                                  <w:szCs w:val="17"/>
                                  <w:lang w:eastAsia="es-ES"/>
                                </w:rPr>
                                <w:t xml:space="preserve">FIRM &amp; REFINET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10 de Mayo de 2017 </w:t>
                              </w:r>
                              <w:r w:rsidRPr="003C17F1">
                                <w:rPr>
                                  <w:rFonts w:ascii="Arial" w:eastAsia="Times New Roman" w:hAnsi="Arial" w:cs="Arial"/>
                                  <w:color w:val="000000"/>
                                  <w:sz w:val="17"/>
                                  <w:szCs w:val="17"/>
                                  <w:lang w:eastAsia="es-ES"/>
                                </w:rPr>
                                <w:t xml:space="preserve">13ºForo PTEC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06 de Junio de 2017 </w:t>
                              </w:r>
                              <w:r w:rsidRPr="003C17F1">
                                <w:rPr>
                                  <w:rFonts w:ascii="Arial" w:eastAsia="Times New Roman" w:hAnsi="Arial" w:cs="Arial"/>
                                  <w:color w:val="000000"/>
                                  <w:sz w:val="17"/>
                                  <w:szCs w:val="17"/>
                                  <w:lang w:eastAsia="es-ES"/>
                                </w:rPr>
                                <w:t xml:space="preserve">GT Internacionalización 2017-2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07 de Junio de 2017 </w:t>
                              </w:r>
                              <w:r w:rsidRPr="003C17F1">
                                <w:rPr>
                                  <w:rFonts w:ascii="Arial" w:eastAsia="Times New Roman" w:hAnsi="Arial" w:cs="Arial"/>
                                  <w:color w:val="000000"/>
                                  <w:sz w:val="17"/>
                                  <w:szCs w:val="17"/>
                                  <w:lang w:eastAsia="es-ES"/>
                                </w:rPr>
                                <w:t xml:space="preserve">GT Innovación 2017-2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13 de Junio de 2017 </w:t>
                              </w:r>
                              <w:r w:rsidRPr="003C17F1">
                                <w:rPr>
                                  <w:rFonts w:ascii="Arial" w:eastAsia="Times New Roman" w:hAnsi="Arial" w:cs="Arial"/>
                                  <w:color w:val="000000"/>
                                  <w:sz w:val="17"/>
                                  <w:szCs w:val="17"/>
                                  <w:lang w:eastAsia="es-ES"/>
                                </w:rPr>
                                <w:t xml:space="preserve">GT Infraestructuras del transporte 2017-2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14 de Junio de 2017 </w:t>
                              </w:r>
                              <w:r w:rsidRPr="003C17F1">
                                <w:rPr>
                                  <w:rFonts w:ascii="Arial" w:eastAsia="Times New Roman" w:hAnsi="Arial" w:cs="Arial"/>
                                  <w:color w:val="000000"/>
                                  <w:sz w:val="17"/>
                                  <w:szCs w:val="17"/>
                                  <w:lang w:eastAsia="es-ES"/>
                                </w:rPr>
                                <w:t xml:space="preserve">GT La ciudad del futuro 2017-2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20 de Junio de 2017 </w:t>
                              </w:r>
                              <w:r w:rsidRPr="003C17F1">
                                <w:rPr>
                                  <w:rFonts w:ascii="Arial" w:eastAsia="Times New Roman" w:hAnsi="Arial" w:cs="Arial"/>
                                  <w:color w:val="000000"/>
                                  <w:sz w:val="17"/>
                                  <w:szCs w:val="17"/>
                                  <w:lang w:eastAsia="es-ES"/>
                                </w:rPr>
                                <w:t xml:space="preserve">GT Procesos de construcción 2017-2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20 de Junio de 2017 </w:t>
                              </w:r>
                              <w:r w:rsidRPr="003C17F1">
                                <w:rPr>
                                  <w:rFonts w:ascii="Arial" w:eastAsia="Times New Roman" w:hAnsi="Arial" w:cs="Arial"/>
                                  <w:color w:val="000000"/>
                                  <w:sz w:val="17"/>
                                  <w:szCs w:val="17"/>
                                  <w:lang w:eastAsia="es-ES"/>
                                </w:rPr>
                                <w:t xml:space="preserve">GTE SS 2017-2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21 de Junio de 2017 </w:t>
                              </w:r>
                              <w:r w:rsidRPr="003C17F1">
                                <w:rPr>
                                  <w:rFonts w:ascii="Arial" w:eastAsia="Times New Roman" w:hAnsi="Arial" w:cs="Arial"/>
                                  <w:color w:val="000000"/>
                                  <w:sz w:val="17"/>
                                  <w:szCs w:val="17"/>
                                  <w:lang w:eastAsia="es-ES"/>
                                </w:rPr>
                                <w:t xml:space="preserve">NTPs meeting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28 de Junio de 2017 </w:t>
                              </w:r>
                              <w:r w:rsidRPr="003C17F1">
                                <w:rPr>
                                  <w:rFonts w:ascii="Arial" w:eastAsia="Times New Roman" w:hAnsi="Arial" w:cs="Arial"/>
                                  <w:color w:val="000000"/>
                                  <w:sz w:val="17"/>
                                  <w:szCs w:val="17"/>
                                  <w:lang w:eastAsia="es-ES"/>
                                </w:rPr>
                                <w:t xml:space="preserve">CP PTEC 2017-2 </w:t>
                              </w:r>
                            </w:p>
                          </w:tc>
                        </w:tr>
                        <w:tr w:rsidR="003C17F1" w:rsidRPr="003C17F1" w:rsidTr="00F83B6B">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3C17F1" w:rsidRPr="003C17F1" w:rsidRDefault="003C17F1" w:rsidP="003C17F1">
                              <w:pPr>
                                <w:spacing w:after="0" w:line="240" w:lineRule="auto"/>
                                <w:rPr>
                                  <w:rFonts w:ascii="Arial" w:eastAsia="Times New Roman" w:hAnsi="Arial" w:cs="Arial"/>
                                  <w:b/>
                                  <w:bCs/>
                                  <w:color w:val="FFFFFF"/>
                                  <w:sz w:val="26"/>
                                  <w:szCs w:val="26"/>
                                  <w:lang w:eastAsia="es-ES"/>
                                </w:rPr>
                              </w:pPr>
                              <w:r w:rsidRPr="003C17F1">
                                <w:rPr>
                                  <w:rFonts w:ascii="Arial" w:eastAsia="Times New Roman" w:hAnsi="Arial" w:cs="Arial"/>
                                  <w:b/>
                                  <w:bCs/>
                                  <w:color w:val="FFFFFF"/>
                                  <w:sz w:val="26"/>
                                  <w:szCs w:val="26"/>
                                  <w:lang w:eastAsia="es-ES"/>
                                </w:rPr>
                                <w:t xml:space="preserve">    EVENTOS INTERNACIONALES </w:t>
                              </w:r>
                            </w:p>
                          </w:tc>
                        </w:tr>
                        <w:tr w:rsidR="003C17F1" w:rsidRPr="003C17F1" w:rsidTr="00F83B6B">
                          <w:trPr>
                            <w:tblCellSpacing w:w="0" w:type="dxa"/>
                          </w:trPr>
                          <w:tc>
                            <w:tcPr>
                              <w:tcW w:w="0" w:type="auto"/>
                              <w:tcBorders>
                                <w:top w:val="nil"/>
                                <w:left w:val="nil"/>
                                <w:bottom w:val="nil"/>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23 de Febrero de 2017 </w:t>
                              </w:r>
                              <w:r w:rsidRPr="003C17F1">
                                <w:rPr>
                                  <w:rFonts w:ascii="Arial" w:eastAsia="Times New Roman" w:hAnsi="Arial" w:cs="Arial"/>
                                  <w:color w:val="000000"/>
                                  <w:sz w:val="17"/>
                                  <w:szCs w:val="17"/>
                                  <w:lang w:eastAsia="es-ES"/>
                                </w:rPr>
                                <w:t xml:space="preserve">Workshop on methods for durability design of reinforced concrete structures </w:t>
                              </w:r>
                              <w:hyperlink r:id="rId48" w:history="1">
                                <w:r w:rsidRPr="003C17F1">
                                  <w:rPr>
                                    <w:rFonts w:ascii="Arial" w:eastAsia="Times New Roman" w:hAnsi="Arial" w:cs="Arial"/>
                                    <w:b/>
                                    <w:bCs/>
                                    <w:color w:val="000033"/>
                                    <w:sz w:val="15"/>
                                    <w:szCs w:val="15"/>
                                    <w:u w:val="single"/>
                                    <w:lang w:eastAsia="es-ES"/>
                                  </w:rPr>
                                  <w:t>Ver evento</w:t>
                                </w:r>
                              </w:hyperlink>
                              <w:r w:rsidRPr="003C17F1">
                                <w:rPr>
                                  <w:rFonts w:ascii="Arial" w:eastAsia="Times New Roman" w:hAnsi="Arial" w:cs="Arial"/>
                                  <w:color w:val="000000"/>
                                  <w:sz w:val="17"/>
                                  <w:szCs w:val="17"/>
                                  <w:lang w:eastAsia="es-ES"/>
                                </w:rPr>
                                <w:t xml:space="preserve"> </w:t>
                              </w:r>
                            </w:p>
                          </w:tc>
                        </w:tr>
                        <w:tr w:rsidR="003C17F1" w:rsidRPr="003C17F1" w:rsidTr="00F83B6B">
                          <w:trPr>
                            <w:tblCellSpacing w:w="0" w:type="dxa"/>
                          </w:trPr>
                          <w:tc>
                            <w:tcPr>
                              <w:tcW w:w="0" w:type="auto"/>
                              <w:tcBorders>
                                <w:top w:val="nil"/>
                                <w:left w:val="nil"/>
                                <w:bottom w:val="single" w:sz="6" w:space="0" w:color="AA0000"/>
                                <w:right w:val="nil"/>
                              </w:tcBorders>
                              <w:shd w:val="clear" w:color="auto" w:fill="FFFFFF"/>
                              <w:vAlign w:val="center"/>
                              <w:hideMark/>
                            </w:tcPr>
                            <w:p w:rsidR="003C17F1" w:rsidRPr="003C17F1" w:rsidRDefault="003C17F1" w:rsidP="003C17F1">
                              <w:pPr>
                                <w:spacing w:after="0" w:line="300" w:lineRule="auto"/>
                                <w:ind w:left="30" w:right="60"/>
                                <w:rPr>
                                  <w:rFonts w:ascii="Arial" w:eastAsia="Times New Roman" w:hAnsi="Arial" w:cs="Arial"/>
                                  <w:color w:val="000000"/>
                                  <w:sz w:val="17"/>
                                  <w:szCs w:val="17"/>
                                  <w:lang w:eastAsia="es-ES"/>
                                </w:rPr>
                              </w:pPr>
                              <w:r w:rsidRPr="003C17F1">
                                <w:rPr>
                                  <w:rFonts w:ascii="Arial" w:eastAsia="Times New Roman" w:hAnsi="Arial" w:cs="Arial"/>
                                  <w:b/>
                                  <w:bCs/>
                                  <w:color w:val="AA0000"/>
                                  <w:sz w:val="18"/>
                                  <w:szCs w:val="18"/>
                                  <w:lang w:eastAsia="es-ES"/>
                                </w:rPr>
                                <w:t xml:space="preserve">01 de Marzo de 2017 </w:t>
                              </w:r>
                              <w:r w:rsidRPr="003C17F1">
                                <w:rPr>
                                  <w:rFonts w:ascii="Arial" w:eastAsia="Times New Roman" w:hAnsi="Arial" w:cs="Arial"/>
                                  <w:color w:val="000000"/>
                                  <w:sz w:val="17"/>
                                  <w:szCs w:val="17"/>
                                  <w:lang w:eastAsia="es-ES"/>
                                </w:rPr>
                                <w:t xml:space="preserve">European Research Conference: Buildings </w:t>
                              </w:r>
                              <w:hyperlink r:id="rId49" w:history="1">
                                <w:r w:rsidRPr="003C17F1">
                                  <w:rPr>
                                    <w:rFonts w:ascii="Arial" w:eastAsia="Times New Roman" w:hAnsi="Arial" w:cs="Arial"/>
                                    <w:b/>
                                    <w:bCs/>
                                    <w:color w:val="000033"/>
                                    <w:sz w:val="15"/>
                                    <w:szCs w:val="15"/>
                                    <w:u w:val="single"/>
                                    <w:lang w:eastAsia="es-ES"/>
                                  </w:rPr>
                                  <w:t>Ver evento</w:t>
                                </w:r>
                              </w:hyperlink>
                              <w:r w:rsidRPr="003C17F1">
                                <w:rPr>
                                  <w:rFonts w:ascii="Arial" w:eastAsia="Times New Roman" w:hAnsi="Arial" w:cs="Arial"/>
                                  <w:color w:val="000000"/>
                                  <w:sz w:val="17"/>
                                  <w:szCs w:val="17"/>
                                  <w:lang w:eastAsia="es-ES"/>
                                </w:rPr>
                                <w:t xml:space="preserve"> </w:t>
                              </w: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lastRenderedPageBreak/>
                          <w:t> </w:t>
                        </w:r>
                      </w:p>
                    </w:tc>
                  </w:tr>
                  <w:tr w:rsidR="003C17F1" w:rsidRPr="003C17F1" w:rsidTr="00F83B6B">
                    <w:trPr>
                      <w:tblCellSpacing w:w="0" w:type="dxa"/>
                      <w:jc w:val="center"/>
                    </w:trPr>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3C17F1" w:rsidRPr="003C17F1" w:rsidRDefault="003C17F1" w:rsidP="003C17F1">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3C17F1" w:rsidRPr="003C17F1" w:rsidRDefault="003C17F1" w:rsidP="003C17F1">
                        <w:pPr>
                          <w:spacing w:after="0" w:line="240" w:lineRule="auto"/>
                          <w:rPr>
                            <w:rFonts w:ascii="Arial" w:eastAsia="Times New Roman" w:hAnsi="Arial" w:cs="Arial"/>
                            <w:color w:val="666666"/>
                            <w:sz w:val="17"/>
                            <w:szCs w:val="17"/>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8310" w:type="dxa"/>
                  <w:tcBorders>
                    <w:top w:val="nil"/>
                    <w:left w:val="nil"/>
                    <w:bottom w:val="nil"/>
                    <w:right w:val="nil"/>
                  </w:tcBorders>
                  <w:vAlign w:val="center"/>
                  <w:hideMark/>
                </w:tcPr>
                <w:p w:rsidR="003C17F1" w:rsidRPr="003C17F1" w:rsidRDefault="003C17F1" w:rsidP="003C17F1">
                  <w:pPr>
                    <w:spacing w:after="0" w:line="240" w:lineRule="auto"/>
                    <w:rPr>
                      <w:rFonts w:ascii="Times New Roman" w:eastAsia="Times New Roman" w:hAnsi="Times New Roman" w:cs="Times New Roman"/>
                      <w:sz w:val="20"/>
                      <w:szCs w:val="20"/>
                      <w:lang w:eastAsia="es-ES"/>
                    </w:rPr>
                  </w:pPr>
                </w:p>
              </w:tc>
            </w:tr>
          </w:tbl>
          <w:p w:rsidR="003C17F1" w:rsidRPr="003C17F1" w:rsidRDefault="003C17F1" w:rsidP="003C17F1">
            <w:pPr>
              <w:spacing w:after="0" w:line="240" w:lineRule="auto"/>
              <w:rPr>
                <w:rFonts w:ascii="Arial" w:eastAsia="Times New Roman" w:hAnsi="Arial" w:cs="Arial"/>
                <w:color w:val="666666"/>
                <w:sz w:val="17"/>
                <w:szCs w:val="17"/>
                <w:lang w:eastAsia="es-ES"/>
              </w:rPr>
            </w:pPr>
          </w:p>
        </w:tc>
      </w:tr>
      <w:tr w:rsidR="003C17F1" w:rsidRPr="003C17F1" w:rsidTr="00F83B6B">
        <w:trPr>
          <w:tblCellSpacing w:w="0" w:type="dxa"/>
          <w:jc w:val="center"/>
        </w:trPr>
        <w:tc>
          <w:tcPr>
            <w:tcW w:w="0" w:type="auto"/>
            <w:tcBorders>
              <w:bottom w:val="single" w:sz="6" w:space="0" w:color="666666"/>
            </w:tcBorders>
            <w:shd w:val="clear" w:color="auto" w:fill="FFFFFF"/>
            <w:hideMark/>
          </w:tcPr>
          <w:p w:rsidR="003C17F1" w:rsidRPr="003C17F1" w:rsidRDefault="003C17F1" w:rsidP="003C17F1">
            <w:pPr>
              <w:spacing w:after="0" w:line="240" w:lineRule="auto"/>
              <w:rPr>
                <w:rFonts w:ascii="Arial" w:eastAsia="Times New Roman" w:hAnsi="Arial" w:cs="Arial"/>
                <w:color w:val="666666"/>
                <w:sz w:val="17"/>
                <w:szCs w:val="17"/>
                <w:lang w:eastAsia="es-ES"/>
              </w:rPr>
            </w:pPr>
            <w:r w:rsidRPr="003C17F1">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3C17F1" w:rsidRPr="003C17F1" w:rsidRDefault="003C17F1" w:rsidP="003C17F1">
      <w:pPr>
        <w:spacing w:after="0" w:line="240" w:lineRule="auto"/>
        <w:jc w:val="center"/>
        <w:rPr>
          <w:rFonts w:ascii="Arial" w:eastAsia="Times New Roman" w:hAnsi="Arial" w:cs="Arial"/>
          <w:color w:val="666666"/>
          <w:sz w:val="17"/>
          <w:szCs w:val="17"/>
          <w:lang w:eastAsia="es-ES"/>
        </w:rPr>
      </w:pPr>
      <w:r w:rsidRPr="003C17F1">
        <w:rPr>
          <w:rFonts w:ascii="Arial" w:eastAsia="Times New Roman" w:hAnsi="Arial" w:cs="Arial"/>
          <w:color w:val="666666"/>
          <w:sz w:val="17"/>
          <w:szCs w:val="17"/>
          <w:lang w:eastAsia="es-ES"/>
        </w:rPr>
        <w:br/>
      </w:r>
      <w:r w:rsidRPr="003C17F1">
        <w:rPr>
          <w:rFonts w:ascii="Arial" w:eastAsia="Times New Roman" w:hAnsi="Arial" w:cs="Arial"/>
          <w:color w:val="666666"/>
          <w:sz w:val="15"/>
          <w:szCs w:val="15"/>
          <w:lang w:eastAsia="es-ES"/>
        </w:rPr>
        <w:t xml:space="preserve">Recibe este mensaje porque está dado de alta en </w:t>
      </w:r>
      <w:hyperlink r:id="rId51" w:tgtFrame="_blank" w:history="1">
        <w:r w:rsidRPr="003C17F1">
          <w:rPr>
            <w:rFonts w:ascii="Arial" w:eastAsia="Times New Roman" w:hAnsi="Arial" w:cs="Arial"/>
            <w:color w:val="666666"/>
            <w:sz w:val="17"/>
            <w:szCs w:val="17"/>
            <w:u w:val="single"/>
            <w:lang w:eastAsia="es-ES"/>
          </w:rPr>
          <w:t>PLATAFORMAPTEC.com</w:t>
        </w:r>
      </w:hyperlink>
      <w:r w:rsidRPr="003C17F1">
        <w:rPr>
          <w:rFonts w:ascii="Arial" w:eastAsia="Times New Roman" w:hAnsi="Arial" w:cs="Arial"/>
          <w:color w:val="666666"/>
          <w:sz w:val="15"/>
          <w:szCs w:val="15"/>
          <w:lang w:eastAsia="es-ES"/>
        </w:rPr>
        <w:t xml:space="preserve">. </w:t>
      </w:r>
      <w:r w:rsidRPr="003C17F1">
        <w:rPr>
          <w:rFonts w:ascii="Arial" w:eastAsia="Times New Roman" w:hAnsi="Arial" w:cs="Arial"/>
          <w:color w:val="666666"/>
          <w:sz w:val="15"/>
          <w:szCs w:val="15"/>
          <w:lang w:eastAsia="es-ES"/>
        </w:rPr>
        <w:br/>
        <w:t xml:space="preserve">Si no desea recibir más mensajes como éste puede darse de baja desde el menú de usuario. </w:t>
      </w:r>
    </w:p>
    <w:p w:rsidR="003C17F1" w:rsidRPr="003C17F1" w:rsidRDefault="003C17F1" w:rsidP="003C17F1">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920304">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F1"/>
    <w:rsid w:val="0022287D"/>
    <w:rsid w:val="003C17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C5FDD-4345-4907-82CD-EE9F4B02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17F1"/>
    <w:rPr>
      <w:rFonts w:ascii="Arial" w:hAnsi="Arial" w:cs="Arial"/>
      <w:color w:val="666666"/>
      <w:sz w:val="17"/>
      <w:szCs w:val="17"/>
      <w:u w:val="single"/>
    </w:rPr>
  </w:style>
  <w:style w:type="paragraph" w:styleId="NormalWeb">
    <w:name w:val="Normal (Web)"/>
    <w:basedOn w:val="Normal"/>
    <w:uiPriority w:val="99"/>
    <w:semiHidden/>
    <w:unhideWhenUsed/>
    <w:rsid w:val="003C17F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aformaptec.es/ver-noticia.php?id=3767" TargetMode="External"/><Relationship Id="rId18" Type="http://schemas.openxmlformats.org/officeDocument/2006/relationships/image" Target="http://www.plataformaptec.com/imagenes/d59cc41e9cd34abe0a486449e4acec88.jpg" TargetMode="External"/><Relationship Id="rId26" Type="http://schemas.openxmlformats.org/officeDocument/2006/relationships/image" Target="http://www.plataformaptec.com/imagenes/4241125f3b8fd3369542a07b8aacb8fa.jpg" TargetMode="External"/><Relationship Id="rId39" Type="http://schemas.openxmlformats.org/officeDocument/2006/relationships/hyperlink" Target="http://www.plataformaptec.es/ver-noticia.php?id=3758" TargetMode="External"/><Relationship Id="rId3" Type="http://schemas.openxmlformats.org/officeDocument/2006/relationships/webSettings" Target="webSettings.xml"/><Relationship Id="rId21" Type="http://schemas.openxmlformats.org/officeDocument/2006/relationships/hyperlink" Target="http://www.plataformaptec.es/ver-noticia.php?id=3750" TargetMode="External"/><Relationship Id="rId34" Type="http://schemas.openxmlformats.org/officeDocument/2006/relationships/image" Target="http://www.plataformaptec.com/imagenes/9c86f253073f407a939af77617a941b9.jpg" TargetMode="External"/><Relationship Id="rId42" Type="http://schemas.openxmlformats.org/officeDocument/2006/relationships/image" Target="http://www.plataformaptec.com/imagenes/6acba87395c41a4b5d6d140fdd4d121e.jpg" TargetMode="External"/><Relationship Id="rId47" Type="http://schemas.openxmlformats.org/officeDocument/2006/relationships/hyperlink" Target="http://www.plataformaptec.es/ver-noticia.php?id=3763" TargetMode="External"/><Relationship Id="rId50" Type="http://schemas.openxmlformats.org/officeDocument/2006/relationships/image" Target="media/image2.png"/><Relationship Id="rId7" Type="http://schemas.openxmlformats.org/officeDocument/2006/relationships/image" Target="http://www.plataformaptec.com/imagenes/623060781127a98ec55981e73c6847f1.jpg" TargetMode="External"/><Relationship Id="rId12" Type="http://schemas.openxmlformats.org/officeDocument/2006/relationships/image" Target="http://www.plataformaptec.com/imagenes/ffec6f266f1308958e21ed4ebd3010fb.jpg" TargetMode="External"/><Relationship Id="rId17" Type="http://schemas.openxmlformats.org/officeDocument/2006/relationships/hyperlink" Target="http://www.plataformaptec.es/ver-noticia.php?id=3748" TargetMode="External"/><Relationship Id="rId25" Type="http://schemas.openxmlformats.org/officeDocument/2006/relationships/hyperlink" Target="http://www.plataformaptec.es/ver-noticia.php?id=3752" TargetMode="External"/><Relationship Id="rId33" Type="http://schemas.openxmlformats.org/officeDocument/2006/relationships/hyperlink" Target="http://www.plataformaptec.es/ver-noticia.php?id=3755" TargetMode="External"/><Relationship Id="rId38" Type="http://schemas.openxmlformats.org/officeDocument/2006/relationships/image" Target="http://www.plataformaptec.com/imagenes/a5519de98ae202bf1bd30bfc1b74d00b.jpg" TargetMode="External"/><Relationship Id="rId46" Type="http://schemas.openxmlformats.org/officeDocument/2006/relationships/image" Target="http://www.plataformaptec.com/imagenes/5033e1850eff0990af58aa134a47c313.jpg" TargetMode="External"/><Relationship Id="rId2" Type="http://schemas.openxmlformats.org/officeDocument/2006/relationships/settings" Target="settings.xml"/><Relationship Id="rId16" Type="http://schemas.openxmlformats.org/officeDocument/2006/relationships/image" Target="http://www.plataformaptec.com/imagenes/92c10035bb562ee015177d99b3799d02.jpg" TargetMode="External"/><Relationship Id="rId20" Type="http://schemas.openxmlformats.org/officeDocument/2006/relationships/image" Target="http://www.plataformaptec.com/imagenes/679bc76b89e9bd895988b443937c737e.jpg" TargetMode="External"/><Relationship Id="rId29" Type="http://schemas.openxmlformats.org/officeDocument/2006/relationships/hyperlink" Target="http://www.plataformaptec.es/ver-noticia.php?id=3754" TargetMode="External"/><Relationship Id="rId41" Type="http://schemas.openxmlformats.org/officeDocument/2006/relationships/hyperlink" Target="http://www.plataformaptec.es/ver-noticia.php?id=3759" TargetMode="External"/><Relationship Id="rId1" Type="http://schemas.openxmlformats.org/officeDocument/2006/relationships/styles" Target="styles.xml"/><Relationship Id="rId6" Type="http://schemas.openxmlformats.org/officeDocument/2006/relationships/hyperlink" Target="http://www.plataformaptec.es/ver-noticia.php?id=3764" TargetMode="External"/><Relationship Id="rId11" Type="http://schemas.openxmlformats.org/officeDocument/2006/relationships/hyperlink" Target="http://www.plataformaptec.es/ver-noticia.php?id=3766" TargetMode="External"/><Relationship Id="rId24" Type="http://schemas.openxmlformats.org/officeDocument/2006/relationships/image" Target="http://www.plataformaptec.com/imagenes/e667d0422e3d3d41d1aa1905a6fb6c4e.jpg" TargetMode="External"/><Relationship Id="rId32" Type="http://schemas.openxmlformats.org/officeDocument/2006/relationships/image" Target="http://www.plataformaptec.com/imagenes/352c92aeec6073deb580383ebe7be83a.jpg" TargetMode="External"/><Relationship Id="rId37" Type="http://schemas.openxmlformats.org/officeDocument/2006/relationships/hyperlink" Target="http://www.plataformaptec.es/ver-noticia.php?id=3757" TargetMode="External"/><Relationship Id="rId40" Type="http://schemas.openxmlformats.org/officeDocument/2006/relationships/image" Target="http://www.plataformaptec.com/imagenes/119b7aeb3386d342112d1d6cde0c9651.jpg" TargetMode="External"/><Relationship Id="rId45" Type="http://schemas.openxmlformats.org/officeDocument/2006/relationships/hyperlink" Target="http://www.plataformaptec.es/ver-noticia.php?id=3761" TargetMode="External"/><Relationship Id="rId53" Type="http://schemas.openxmlformats.org/officeDocument/2006/relationships/theme" Target="theme/theme1.xml"/><Relationship Id="rId5" Type="http://schemas.openxmlformats.org/officeDocument/2006/relationships/image" Target="http://www.plataformaptec.com/imagenes/fa3afd8557b95643927e8e6d9b3c5cb6.png" TargetMode="External"/><Relationship Id="rId15" Type="http://schemas.openxmlformats.org/officeDocument/2006/relationships/hyperlink" Target="http://www.plataformaptec.es/ver-noticia.php?id=3747" TargetMode="External"/><Relationship Id="rId23" Type="http://schemas.openxmlformats.org/officeDocument/2006/relationships/hyperlink" Target="http://www.plataformaptec.es/ver-noticia.php?id=3751" TargetMode="External"/><Relationship Id="rId28" Type="http://schemas.openxmlformats.org/officeDocument/2006/relationships/image" Target="http://www.plataformaptec.com/imagenes/0c258bcea5ff445b8270670439a80995.jpg" TargetMode="External"/><Relationship Id="rId36" Type="http://schemas.openxmlformats.org/officeDocument/2006/relationships/image" Target="http://www.plataformaptec.com/imagenes/ed42f8964769a123406b30984b7ea3b9.jpg" TargetMode="External"/><Relationship Id="rId49" Type="http://schemas.openxmlformats.org/officeDocument/2006/relationships/hyperlink" Target="http://www.plataformaptec.es/ver-evento.php?id=839" TargetMode="External"/><Relationship Id="rId10" Type="http://schemas.openxmlformats.org/officeDocument/2006/relationships/hyperlink" Target="http://www.refinet.eu" TargetMode="External"/><Relationship Id="rId19" Type="http://schemas.openxmlformats.org/officeDocument/2006/relationships/hyperlink" Target="http://www.plataformaptec.es/ver-noticia.php?id=3749" TargetMode="External"/><Relationship Id="rId31" Type="http://schemas.openxmlformats.org/officeDocument/2006/relationships/hyperlink" Target="http://www.plataformaptec.es/ver-noticia.php?id=3762" TargetMode="External"/><Relationship Id="rId44" Type="http://schemas.openxmlformats.org/officeDocument/2006/relationships/image" Target="http://www.plataformaptec.com/imagenes/381d347ea227d9de41da18e29b07844f.jpg" TargetMode="External"/><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www.plataformaptec.com/imagenes/742c19e271b5fbb6c045e792c6186f2c.jpg" TargetMode="External"/><Relationship Id="rId14" Type="http://schemas.openxmlformats.org/officeDocument/2006/relationships/image" Target="http://www.plataformaptec.com/imagenes/fd356c90be572b71c48c696b0d10fb96.jpg" TargetMode="External"/><Relationship Id="rId22" Type="http://schemas.openxmlformats.org/officeDocument/2006/relationships/image" Target="http://www.plataformaptec.com/imagenes/2bddf2c40df5eabe49e76bdd0fe699e8.jpg" TargetMode="External"/><Relationship Id="rId27" Type="http://schemas.openxmlformats.org/officeDocument/2006/relationships/hyperlink" Target="http://www.plataformaptec.es/ver-noticia.php?id=3753" TargetMode="External"/><Relationship Id="rId30" Type="http://schemas.openxmlformats.org/officeDocument/2006/relationships/image" Target="http://www.plataformaptec.com/imagenes/9353d0d24666e2bf6f1209fc34e58e42.png" TargetMode="External"/><Relationship Id="rId35" Type="http://schemas.openxmlformats.org/officeDocument/2006/relationships/hyperlink" Target="http://www.plataformaptec.es/ver-noticia.php?id=3756" TargetMode="External"/><Relationship Id="rId43" Type="http://schemas.openxmlformats.org/officeDocument/2006/relationships/hyperlink" Target="http://www.plataformaptec.es/ver-noticia.php?id=3760" TargetMode="External"/><Relationship Id="rId48" Type="http://schemas.openxmlformats.org/officeDocument/2006/relationships/hyperlink" Target="http://www.plataformaptec.es/ver-evento.php?id=847" TargetMode="External"/><Relationship Id="rId8" Type="http://schemas.openxmlformats.org/officeDocument/2006/relationships/hyperlink" Target="http://www.plataformaptec.es/ver-noticia.php?id=3765" TargetMode="External"/><Relationship Id="rId51" Type="http://schemas.openxmlformats.org/officeDocument/2006/relationships/hyperlink" Target="http://www.plataformaptec.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2025</Words>
  <Characters>11140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2017-01-30T12:15:00Z</dcterms:created>
  <dcterms:modified xsi:type="dcterms:W3CDTF">2017-01-30T12:15:00Z</dcterms:modified>
</cp:coreProperties>
</file>