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310"/>
      </w:tblGrid>
      <w:tr w:rsidR="00CB38D2" w:rsidRPr="00CB38D2">
        <w:trPr>
          <w:tblCellSpacing w:w="0" w:type="dxa"/>
          <w:jc w:val="center"/>
        </w:trPr>
        <w:tc>
          <w:tcPr>
            <w:tcW w:w="0" w:type="auto"/>
            <w:tcBorders>
              <w:top w:val="single" w:sz="6" w:space="0" w:color="666666"/>
            </w:tcBorders>
            <w:shd w:val="clear" w:color="auto" w:fill="FFFFFF"/>
            <w:hideMark/>
          </w:tcPr>
          <w:p w:rsidR="00CB38D2" w:rsidRPr="00CB38D2" w:rsidRDefault="00CB38D2" w:rsidP="00CB38D2">
            <w:pPr>
              <w:spacing w:after="0" w:line="240" w:lineRule="auto"/>
              <w:rPr>
                <w:rFonts w:ascii="Arial" w:eastAsia="Times New Roman" w:hAnsi="Arial" w:cs="Arial"/>
                <w:color w:val="666666"/>
                <w:sz w:val="17"/>
                <w:szCs w:val="17"/>
                <w:lang w:eastAsia="es-ES"/>
              </w:rPr>
            </w:pPr>
            <w:r w:rsidRPr="00CB38D2">
              <w:rPr>
                <w:rFonts w:ascii="Arial" w:eastAsia="Times New Roman" w:hAnsi="Arial" w:cs="Arial"/>
                <w:noProof/>
                <w:color w:val="666666"/>
                <w:sz w:val="17"/>
                <w:szCs w:val="17"/>
                <w:lang w:eastAsia="es-ES"/>
              </w:rPr>
              <w:drawing>
                <wp:inline distT="0" distB="0" distL="0" distR="0">
                  <wp:extent cx="5242560" cy="914400"/>
                  <wp:effectExtent l="0" t="0" r="15240" b="0"/>
                  <wp:docPr id="24" name="Imagen 24"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CB38D2" w:rsidRPr="00CB38D2">
        <w:trPr>
          <w:tblCellSpacing w:w="0" w:type="dxa"/>
          <w:jc w:val="center"/>
        </w:trPr>
        <w:tc>
          <w:tcPr>
            <w:tcW w:w="0" w:type="auto"/>
            <w:shd w:val="clear" w:color="auto" w:fill="FFFFFF"/>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CB38D2" w:rsidRPr="00CB38D2">
              <w:trPr>
                <w:trHeight w:val="180"/>
                <w:tblCellSpacing w:w="0" w:type="dxa"/>
                <w:jc w:val="center"/>
              </w:trPr>
              <w:tc>
                <w:tcPr>
                  <w:tcW w:w="0" w:type="auto"/>
                  <w:tcBorders>
                    <w:top w:val="nil"/>
                    <w:left w:val="nil"/>
                    <w:bottom w:val="nil"/>
                    <w:right w:val="nil"/>
                  </w:tcBorders>
                  <w:vAlign w:val="center"/>
                  <w:hideMark/>
                </w:tcPr>
                <w:p w:rsidR="00CB38D2" w:rsidRPr="00CB38D2" w:rsidRDefault="00CB38D2" w:rsidP="00CB38D2">
                  <w:pPr>
                    <w:spacing w:after="0" w:line="264" w:lineRule="auto"/>
                    <w:ind w:left="30"/>
                    <w:rPr>
                      <w:rFonts w:ascii="Arial" w:eastAsia="Times New Roman" w:hAnsi="Arial" w:cs="Arial"/>
                      <w:b/>
                      <w:bCs/>
                      <w:color w:val="0064AF"/>
                      <w:sz w:val="30"/>
                      <w:szCs w:val="30"/>
                      <w:lang w:eastAsia="es-ES"/>
                    </w:rPr>
                  </w:pPr>
                  <w:r w:rsidRPr="00CB38D2">
                    <w:rPr>
                      <w:rFonts w:ascii="Arial" w:eastAsia="Times New Roman" w:hAnsi="Arial" w:cs="Arial"/>
                      <w:b/>
                      <w:bCs/>
                      <w:color w:val="0064AF"/>
                      <w:sz w:val="30"/>
                      <w:szCs w:val="30"/>
                      <w:lang w:eastAsia="es-ES"/>
                    </w:rPr>
                    <w:br/>
                    <w:t>Últimas Noticias</w:t>
                  </w:r>
                </w:p>
              </w:tc>
            </w:tr>
            <w:tr w:rsidR="00CB38D2" w:rsidRPr="00CB38D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NOTICIAS DE LA PTEC</w:t>
                  </w: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 xml:space="preserve">Boletín PTEC 12/09/2016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44" name="Imagen 44" descr="Boletín PTEC 12/09/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letín PTEC 12/09/2016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La Plataforma Tecnológica Española de la Construcción PTEC ha trabajado esta semana en el contenido del 8º Taller PTEC “La innovación en las empresas de construcción”, cuyo programa está cerrado a falta de incorporar algún ponente miembro de PTEC del área de las ingeni...</w:t>
                        </w:r>
                        <w:hyperlink r:id="rId7"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SUBTERRA entra a formar parte de la PTEC</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221615"/>
                              <wp:effectExtent l="0" t="0" r="0" b="6985"/>
                              <wp:wrapSquare wrapText="bothSides"/>
                              <wp:docPr id="43" name="Imagen 43" descr="SUBTERRA entra a formar part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BTERRA entra a formar parte de la PTE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La empresa se ha incorporado recientemente a la PTEC formando parte de los Grupos de Trabajo Infraestructuras del transporte y Procesos de Construcción.</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Desde su nacimiento, SUBTERRA ha ofrecido servicios tanto en la fase de diseño como durante la construcción. Como ingeniería de diseño, sus servicios abarcan la toma de datos en terreno y su interpretación, sofisticados c... </w:t>
                        </w:r>
                        <w:hyperlink r:id="rId9"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 xml:space="preserve">PTEC organiza el 8º Taller sobre estrategias para promover la innovación por cauces distintos a los proyectos I+D+i.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42" name="Imagen 42" descr="PTEC organiza el 8º Taller sobre estrategias para promover la innovación por cauces distintos a los proyectos 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TEC organiza el 8º Taller sobre estrategias para promover la innovación por cauces distintos a los proyectos I+D+i. "/>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La Plataforma Tecnológica Española de Construcción organiza el 8º Taller PTEC “La innovación en las empresas del sector de la construcción” (IETcc, 5 de octubre) en el que se pondrán en común experiencias acerca de las diferentes estrategias en los miembros de la PTEC para promover la innovación por otros cauces que los proyectos I+D+i.</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El programa está d... </w:t>
                        </w:r>
                        <w:hyperlink r:id="rId11"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Abierto el plazo para la presentación de posters en el 12º Foro PTEC</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41" name="Imagen 41" descr="Abierto el plazo para la presentación de posters en el 12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ierto el plazo para la presentación de posters en el 12º Foro PTE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La PTEC organiza el próximo día 15 de noviembre en Sevilla el 12º Foro PTEC de debate abierto “La innovación en los procesos de construcción” donde se debatirá sobre la innovación relacionada con la mejora en los procesos de construcción, tema transversal que afecta tanto edificación como obra civil, en obra nueva o en rehabilitación, e interacciona con los... </w:t>
                        </w:r>
                        <w:hyperlink r:id="rId13"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El uso de residuos textiles contribuye a mejorar la sostenibilidad de los materiales</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97840"/>
                              <wp:effectExtent l="0" t="0" r="0" b="16510"/>
                              <wp:wrapSquare wrapText="bothSides"/>
                              <wp:docPr id="40" name="Imagen 40" descr="El uso de residuos textiles contribuye a mejorar la sostenibilidad de los mate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 uso de residuos textiles contribuye a mejorar la sostenibilidad de los materiale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Investigadoras de la Escuela Técnica Superior de Arquitectura de la Universidad Politécnica de Madrid han llevado a cabo una investigación en la que han utilizado materiales textiles para obtener paneles para divisiones interiores que pueden ser utilizados tanto en obra nueva como en la rehabilitación de edificios. Los paneles obtenidos con este método tienen un peso meno... </w:t>
                        </w:r>
                        <w:hyperlink r:id="rId15"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PAPIRUS project offers online course: Guidelines, Examples of PPI and Lessons Learnt</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39" name="Imagen 39" descr="PAPIRUS project offers online course: Guidelines, Examples of PPI and Lessons Lea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PIRUS project offers online course: Guidelines, Examples of PPI and Lessons Learnt"/>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Public procurement is an important tool in the EU public policy. In fact, 14% of the EU gross domestic product (GDP) is spent on the purchase [15071668497 74754a8b3d b] of products and services by public authorities. One of the key features of the EU economy is also the stimulation of innovation by public authorities in order to accelerate the development and common availab... </w:t>
                        </w:r>
                        <w:hyperlink r:id="rId17"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NOTICIAS NACIONALES</w:t>
                  </w: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Convocatoria Apoyo a Centros de Excelencia “Severo Ochoa” y a Unidades de Excelencia “María de Maeztu', 2016</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252730"/>
                              <wp:effectExtent l="0" t="0" r="0" b="13970"/>
                              <wp:wrapSquare wrapText="bothSides"/>
                              <wp:docPr id="38" name="Imagen 38" descr="Convocatoria Apoyo a Centros de Excelencia “Severo Ochoa” y a Unidades de Excelencia “María de Maeztu',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vocatoria Apoyo a Centros de Excelencia “Severo Ochoa” y a Unidades de Excelencia “María de Maeztu', 201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La Agencia Estatal de Investigación ha publicado la convocatoria 2016 de las acreditaciones de «Centros de Excelencia Severo Ochoa» y de «Unidades de Excelencia María de Maeztu» y las ayudas públicas asociadas, que financiará con 40 millones de euros las actuaciones incluidas en los planes estratégicos de los centros, o en los programas estratégicos ... </w:t>
                        </w:r>
                        <w:hyperlink r:id="rId19"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NOTICIAS INTERNACIONALES</w:t>
                  </w: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 xml:space="preserve">Registration opens for the H2020 Energy Virtual Info Day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37" name="Imagen 37" descr="Registration opens for the H2020 Energy Virtual Info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gistration opens for the H2020 Energy Virtual Info Day "/>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This virtual event will be broadcast live on 20 September. It targets potential applicants to the calls for project proposals under 2016 – 2017 Horizon 2020 Work programme 'Secure, clean and efficient energy'.</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Registration for the info day is compulsory and free of charge.</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You will also have the possibility to follow the event on Twitter at #H2020Energy. </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If... </w:t>
                        </w:r>
                        <w:hyperlink r:id="rId21"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Horizon 2020 coordinators' day on 23 September 2016 in Brussels - All you need to know about the preparation of your grant agreement. 06/9/2016</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36" name="Imagen 36" descr="Horizon 2020 coordinators' day on 23 September 2016 in Brussels - All you need to know about the preparation of your grant agreement. 06/9/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rizon 2020 coordinators' day on 23 September 2016 in Brussels - All you need to know about the preparation of your grant agreement. 06/9/20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What's next after you received the message that your proposal was successful? The event on 23 September 2016 will provide all details on the preparation and signature of your grant agreement. It will take place in the Conference Centre Albert Borschette in Brussels from 9.30 to 17.00. It is </w:t>
                        </w:r>
                        <w:r w:rsidRPr="00CB38D2">
                          <w:rPr>
                            <w:rFonts w:ascii="Arial" w:eastAsia="Times New Roman" w:hAnsi="Arial" w:cs="Arial"/>
                            <w:color w:val="000000"/>
                            <w:sz w:val="17"/>
                            <w:szCs w:val="17"/>
                            <w:lang w:eastAsia="es-ES"/>
                          </w:rPr>
                          <w:lastRenderedPageBreak/>
                          <w:t xml:space="preserve">mainly meant for coordinators of proposals who were invited to prepare a grant agree... </w:t>
                        </w:r>
                        <w:hyperlink r:id="rId23"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Programas europeos para financiar I+D en las pymes</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35" name="Imagen 35" descr="Programas europeos para financiar I+D en las p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gramas europeos para financiar I+D en las pyme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Las pymes son un vector fundamental para la innovación y el desarrollo en Europa y en este sentido, tienen el potencial y la agilidad necesaria para desarrollar y aportar innovaciones tecnológicas y servicios revolucionarios al mercado. Igualmente, las start ups o nuevas empresas de base tecnológica son actores singulares e importantes que aportan modelos y productos disrup... </w:t>
                        </w:r>
                        <w:hyperlink r:id="rId25"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Convocatorias de I+D+ con Iberoamérica abiertas</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34" name="Imagen 34" descr="Convocatorias de I+D+ con Iberoamérica abie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ocatorias de I+D+ con Iberoamérica abierta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CDTI ha informado sobre las siguientes convocatorias de I+D con Iberoamérica actualmente abiertas</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Sexta convocatoria de colaboración tecnológica empresarial España-Argentina:</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Organismos gestores de la convocatoria: CDTI y MINCyT (Ministerio de Ciencia, Tecnología e Innovación Productiva) </w:t>
                        </w:r>
                        <w:r w:rsidRPr="00CB38D2">
                          <w:rPr>
                            <w:rFonts w:ascii="Arial" w:eastAsia="Times New Roman" w:hAnsi="Arial" w:cs="Arial"/>
                            <w:color w:val="000000"/>
                            <w:sz w:val="17"/>
                            <w:szCs w:val="17"/>
                            <w:lang w:eastAsia="es-ES"/>
                          </w:rPr>
                          <w:br/>
                          <w:t xml:space="preserve">Abierta a proyectos de I+D de todas las ramas de actividad y cualquier tecnología... </w:t>
                        </w:r>
                        <w:hyperlink r:id="rId27"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MyEUREKA, new platform for project participants</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999490"/>
                              <wp:effectExtent l="0" t="0" r="0" b="10160"/>
                              <wp:wrapSquare wrapText="bothSides"/>
                              <wp:docPr id="33" name="Imagen 33" descr="MyEUREKA, new platform for project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yEUREKA, new platform for project participants"/>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The myEUREKA platform, an online tool where you can access your submitted Eurostars project application is now available to you. It allows you and your project partners to manage all project related information and documentation, including handling of any documentation requested such as the commitment &amp; signature form and/or the EC SME declaration.</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After the successful su... </w:t>
                        </w:r>
                        <w:hyperlink r:id="rId29"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Latest Infravation newsletter now published</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378585"/>
                              <wp:effectExtent l="0" t="0" r="0" b="12065"/>
                              <wp:wrapSquare wrapText="bothSides"/>
                              <wp:docPr id="32" name="Imagen 32" descr="Latest Infravation newsletter now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test Infravation newsletter now published"/>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Click here to take a look at the latest Infravation newsletter which has just been published in August 2016. </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Click here if you want to be added to the mailing list for this newsletter and contact Catherine Birkner at </w:t>
                        </w:r>
                        <w:hyperlink r:id="rId31" w:history="1">
                          <w:r w:rsidRPr="00CB38D2">
                            <w:rPr>
                              <w:rFonts w:ascii="Arial" w:eastAsia="Times New Roman" w:hAnsi="Arial" w:cs="Arial"/>
                              <w:color w:val="666666"/>
                              <w:sz w:val="17"/>
                              <w:szCs w:val="17"/>
                              <w:u w:val="single"/>
                              <w:lang w:eastAsia="es-ES"/>
                            </w:rPr>
                            <w:t>info@fehrl.org</w:t>
                          </w:r>
                        </w:hyperlink>
                        <w:r w:rsidRPr="00CB38D2">
                          <w:rPr>
                            <w:rFonts w:ascii="Arial" w:eastAsia="Times New Roman" w:hAnsi="Arial" w:cs="Arial"/>
                            <w:color w:val="000000"/>
                            <w:sz w:val="17"/>
                            <w:szCs w:val="17"/>
                            <w:lang w:eastAsia="es-ES"/>
                          </w:rPr>
                          <w:t xml:space="preserve"> with any comments.</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r>
                        <w:hyperlink r:id="rId32"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KIC InnoEnergy Reopens 2016 Call for Innovation Proposals</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31" name="Imagen 31" descr="KIC InnoEnergy Reopens 2016 Call for Innovation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C InnoEnergy Reopens 2016 Call for Innovation Proposals"/>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Following the success of its 2016 Call for Innovation Proposals, KIC InnoEnergy has reopened the Call for a second phase starting on 1 June. </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Now in its fifth year, the Call seeks European businesses – start-ups, SMEs or larger, who already have innovative sustainable energy projects at the research and development stage – but who need help in getting their ... </w:t>
                        </w:r>
                        <w:hyperlink r:id="rId34"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Energy Union and Climate Action: Driving Europe’s transition to a low-carbon economy</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30" name="Imagen 30" descr="Energy Union and Climate Action: Driving Europe’s transition to a low-carbon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ergy Union and Climate Action: Driving Europe’s transition to a low-carbon economy"/>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The package of measures presented by the Commission helps Europe to prepare for the future and to stay competitive. It translates the commitments taken by Member States in October 2014 and is primarily addressed to Member States, since they will be in the forefront of deciding how to implement measures to meet the agreed greenhouse gas emission target for 2030.</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All Member... </w:t>
                        </w:r>
                        <w:hyperlink r:id="rId36"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List of SME Instrument evaluators published!</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29" name="Imagen 29" descr="List of SME Instrument evaluators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st of SME Instrument evaluators publishe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The list of evaluators who select the most promising projects for the SME Instrument has been published. The list contains more than 1200 experts that have worked for us in 2015. Evaluators are categorised by nationality and topic.</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Publishing the list is meant to increase transparency and avoid conflicts of interest. This is of course part of a set of measures taken to en... </w:t>
                        </w:r>
                        <w:hyperlink r:id="rId38"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Eurostars events in Amsterdam and Brussels this October – and what future for the programme post 2020?</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28" name="Imagen 28" descr="Eurostars events in Amsterdam and Brussels this October – and what future for the programme pos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urostars events in Amsterdam and Brussels this October – and what future for the programme post 2020?"/>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SMEs are the backbone of the European economy and the main players in innovation in the years to come; therefore, public innovation funding for SMEs is one of the keys to keep Europe competitive. October will see some interesting events discussing the best ways of public support. </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The 2016 Eurostars event will take place both in Amsterdam and Brussels on the 12th and 13... </w:t>
                        </w:r>
                        <w:hyperlink r:id="rId40"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Infrastructure Stakeholder Workshop</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27" name="Imagen 27" descr="Infrastructure Stakeholder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frastructure Stakeholder Workshop"/>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On behalf of DG MOVE, the Transport Research and Innovation Portal (TRIP) programme is organising a one-day stakeholder workshop which will take place in Brussels on Tuesday 20 September 2016. The workshop is aimed at senior researchers and consultants, policy makers, planners and other stakeholders with an interest in the future of infrastructure. You will learn about th... </w:t>
                        </w:r>
                        <w:hyperlink r:id="rId42"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ECTP Conference</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6" name="Imagen 26" descr="ECTP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TP Conference"/>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 xml:space="preserve">The 7th ECTP Conference “Innovative Built Environment” will be organized in Brussels (November 17-18th, 2016). </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You can now register online for the ECTP Conference organised at the Centre for Fine Arts (23 Rue Ravenstein, 1000 Brussels).</w:t>
                        </w:r>
                        <w:r w:rsidRPr="00CB38D2">
                          <w:rPr>
                            <w:rFonts w:ascii="Arial" w:eastAsia="Times New Roman" w:hAnsi="Arial" w:cs="Arial"/>
                            <w:color w:val="000000"/>
                            <w:sz w:val="17"/>
                            <w:szCs w:val="17"/>
                            <w:lang w:eastAsia="es-ES"/>
                          </w:rPr>
                          <w:br/>
                        </w:r>
                        <w:hyperlink r:id="rId44"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B38D2" w:rsidRPr="00CB38D2">
                          <w:trPr>
                            <w:tblCellSpacing w:w="0" w:type="dxa"/>
                          </w:trPr>
                          <w:tc>
                            <w:tcPr>
                              <w:tcW w:w="0" w:type="auto"/>
                              <w:tcBorders>
                                <w:top w:val="nil"/>
                                <w:left w:val="nil"/>
                                <w:bottom w:val="nil"/>
                                <w:right w:val="nil"/>
                              </w:tcBorders>
                              <w:vAlign w:val="center"/>
                              <w:hideMark/>
                            </w:tcPr>
                            <w:p w:rsidR="00CB38D2" w:rsidRPr="00CB38D2" w:rsidRDefault="00CB38D2" w:rsidP="00CB38D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B38D2">
                                <w:rPr>
                                  <w:rFonts w:ascii="Arial" w:eastAsia="Times New Roman" w:hAnsi="Arial" w:cs="Arial"/>
                                  <w:b/>
                                  <w:bCs/>
                                  <w:color w:val="0064AF"/>
                                  <w:sz w:val="23"/>
                                  <w:szCs w:val="23"/>
                                  <w:lang w:eastAsia="es-ES"/>
                                </w:rPr>
                                <w:t>Polish info-day in Madrid</w:t>
                              </w:r>
                              <w:r w:rsidRPr="00CB38D2">
                                <w:rPr>
                                  <w:rFonts w:ascii="Arial" w:eastAsia="Times New Roman" w:hAnsi="Arial" w:cs="Arial"/>
                                  <w:b/>
                                  <w:bCs/>
                                  <w:color w:val="0064AF"/>
                                  <w:sz w:val="14"/>
                                  <w:szCs w:val="14"/>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r>
                  <w:tr w:rsidR="00CB38D2" w:rsidRPr="00CB38D2">
                    <w:trPr>
                      <w:trHeight w:val="120"/>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B38D2" w:rsidRPr="00CB38D2" w:rsidRDefault="00CB38D2" w:rsidP="00CB38D2">
                        <w:pPr>
                          <w:spacing w:after="100" w:afterAutospacing="1" w:line="300" w:lineRule="auto"/>
                          <w:ind w:left="30" w:right="60"/>
                          <w:rPr>
                            <w:rFonts w:ascii="Arial" w:eastAsia="Times New Roman" w:hAnsi="Arial" w:cs="Arial"/>
                            <w:color w:val="000000"/>
                            <w:sz w:val="17"/>
                            <w:szCs w:val="17"/>
                            <w:lang w:eastAsia="es-ES"/>
                          </w:rPr>
                        </w:pPr>
                        <w:r w:rsidRPr="00CB38D2">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412115"/>
                              <wp:effectExtent l="0" t="0" r="0" b="6985"/>
                              <wp:wrapSquare wrapText="bothSides"/>
                              <wp:docPr id="25" name="Imagen 25" descr="Polish info-day in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lish info-day in Madrid"/>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D2">
                          <w:rPr>
                            <w:rFonts w:ascii="Arial" w:eastAsia="Times New Roman" w:hAnsi="Arial" w:cs="Arial"/>
                            <w:color w:val="000000"/>
                            <w:sz w:val="17"/>
                            <w:szCs w:val="17"/>
                            <w:lang w:eastAsia="es-ES"/>
                          </w:rPr>
                          <w:t>We would like to draw your attention to an information meeting organized in Madrid on 21st September 2016 by Foundation for Polish Science (FNP) in cooperation with the Spanish Foundation for Science and Technology (FECYT), "la Caixa" Foundation, Polish Embassy to Spain and Polish Institute in Madrid.</w:t>
                        </w:r>
                        <w:r w:rsidRPr="00CB38D2">
                          <w:rPr>
                            <w:rFonts w:ascii="Arial" w:eastAsia="Times New Roman" w:hAnsi="Arial" w:cs="Arial"/>
                            <w:color w:val="000000"/>
                            <w:sz w:val="17"/>
                            <w:szCs w:val="17"/>
                            <w:lang w:eastAsia="es-ES"/>
                          </w:rPr>
                          <w:br/>
                        </w:r>
                        <w:r w:rsidRPr="00CB38D2">
                          <w:rPr>
                            <w:rFonts w:ascii="Arial" w:eastAsia="Times New Roman" w:hAnsi="Arial" w:cs="Arial"/>
                            <w:color w:val="000000"/>
                            <w:sz w:val="17"/>
                            <w:szCs w:val="17"/>
                            <w:lang w:eastAsia="es-ES"/>
                          </w:rPr>
                          <w:br/>
                          <w:t xml:space="preserve">The meeting is addressed to the Spanish research community and wil... </w:t>
                        </w:r>
                        <w:hyperlink r:id="rId46" w:history="1">
                          <w:r w:rsidRPr="00CB38D2">
                            <w:rPr>
                              <w:rFonts w:ascii="Arial" w:eastAsia="Times New Roman" w:hAnsi="Arial" w:cs="Arial"/>
                              <w:b/>
                              <w:bCs/>
                              <w:color w:val="CC0000"/>
                              <w:sz w:val="15"/>
                              <w:szCs w:val="15"/>
                              <w:u w:val="single"/>
                              <w:lang w:eastAsia="es-ES"/>
                            </w:rPr>
                            <w:t>Ver noticia completa</w:t>
                          </w:r>
                        </w:hyperlink>
                        <w:r w:rsidRPr="00CB38D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B38D2" w:rsidRPr="00CB38D2">
                    <w:trPr>
                      <w:trHeight w:val="120"/>
                      <w:tblCellSpacing w:w="0" w:type="dxa"/>
                      <w:jc w:val="center"/>
                    </w:trPr>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CB38D2" w:rsidRPr="00CB38D2" w:rsidRDefault="00CB38D2" w:rsidP="00CB38D2">
                        <w:pPr>
                          <w:spacing w:after="0" w:line="264" w:lineRule="auto"/>
                          <w:ind w:left="30"/>
                          <w:rPr>
                            <w:rFonts w:ascii="Arial" w:eastAsia="Times New Roman" w:hAnsi="Arial" w:cs="Arial"/>
                            <w:b/>
                            <w:bCs/>
                            <w:color w:val="AA0000"/>
                            <w:sz w:val="30"/>
                            <w:szCs w:val="30"/>
                            <w:lang w:eastAsia="es-ES"/>
                          </w:rPr>
                        </w:pPr>
                        <w:r w:rsidRPr="00CB38D2">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CB38D2" w:rsidRPr="00CB38D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xml:space="preserve">    EVENTOS DE LA PTEC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05 de Octubre de 2016 </w:t>
                              </w:r>
                              <w:r w:rsidRPr="00CB38D2">
                                <w:rPr>
                                  <w:rFonts w:ascii="Arial" w:eastAsia="Times New Roman" w:hAnsi="Arial" w:cs="Arial"/>
                                  <w:color w:val="000000"/>
                                  <w:sz w:val="17"/>
                                  <w:szCs w:val="17"/>
                                  <w:lang w:eastAsia="es-ES"/>
                                </w:rPr>
                                <w:t xml:space="preserve">8º Taller PTE: La innovación en las empresas del sector de la construcción </w:t>
                              </w:r>
                              <w:hyperlink r:id="rId47" w:history="1">
                                <w:r w:rsidRPr="00CB38D2">
                                  <w:rPr>
                                    <w:rFonts w:ascii="Arial" w:eastAsia="Times New Roman" w:hAnsi="Arial" w:cs="Arial"/>
                                    <w:b/>
                                    <w:bCs/>
                                    <w:color w:val="000033"/>
                                    <w:sz w:val="15"/>
                                    <w:szCs w:val="15"/>
                                    <w:u w:val="single"/>
                                    <w:lang w:eastAsia="es-ES"/>
                                  </w:rPr>
                                  <w:t>Ver evento</w:t>
                                </w:r>
                              </w:hyperlink>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10 de Octubre de 2016 </w:t>
                              </w:r>
                              <w:r w:rsidRPr="00CB38D2">
                                <w:rPr>
                                  <w:rFonts w:ascii="Arial" w:eastAsia="Times New Roman" w:hAnsi="Arial" w:cs="Arial"/>
                                  <w:color w:val="000000"/>
                                  <w:sz w:val="17"/>
                                  <w:szCs w:val="17"/>
                                  <w:lang w:eastAsia="es-ES"/>
                                </w:rPr>
                                <w:t xml:space="preserve">Reunión GT Procesos 2016-3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10 de Octubre de 2016 </w:t>
                              </w:r>
                              <w:r w:rsidRPr="00CB38D2">
                                <w:rPr>
                                  <w:rFonts w:ascii="Arial" w:eastAsia="Times New Roman" w:hAnsi="Arial" w:cs="Arial"/>
                                  <w:color w:val="000000"/>
                                  <w:sz w:val="17"/>
                                  <w:szCs w:val="17"/>
                                  <w:lang w:eastAsia="es-ES"/>
                                </w:rPr>
                                <w:t xml:space="preserve">Reunión GTE Seguridad 2016-3 (15:30)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11 de Octubre de 2016 </w:t>
                              </w:r>
                              <w:r w:rsidRPr="00CB38D2">
                                <w:rPr>
                                  <w:rFonts w:ascii="Arial" w:eastAsia="Times New Roman" w:hAnsi="Arial" w:cs="Arial"/>
                                  <w:color w:val="000000"/>
                                  <w:sz w:val="17"/>
                                  <w:szCs w:val="17"/>
                                  <w:lang w:eastAsia="es-ES"/>
                                </w:rPr>
                                <w:t xml:space="preserve">Reunión GT Infraestructuras de Transporte 2016-3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24 de Octubre de 2016 </w:t>
                              </w:r>
                              <w:r w:rsidRPr="00CB38D2">
                                <w:rPr>
                                  <w:rFonts w:ascii="Arial" w:eastAsia="Times New Roman" w:hAnsi="Arial" w:cs="Arial"/>
                                  <w:color w:val="000000"/>
                                  <w:sz w:val="17"/>
                                  <w:szCs w:val="17"/>
                                  <w:lang w:eastAsia="es-ES"/>
                                </w:rPr>
                                <w:t xml:space="preserve">Reunión GT Ciudad del Futuro 2016-2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25 de Octubre de 2016 </w:t>
                              </w:r>
                              <w:r w:rsidRPr="00CB38D2">
                                <w:rPr>
                                  <w:rFonts w:ascii="Arial" w:eastAsia="Times New Roman" w:hAnsi="Arial" w:cs="Arial"/>
                                  <w:color w:val="000000"/>
                                  <w:sz w:val="17"/>
                                  <w:szCs w:val="17"/>
                                  <w:lang w:eastAsia="es-ES"/>
                                </w:rPr>
                                <w:t xml:space="preserve">Reunión GT Impulso a la Innovación 2016-3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25 de Octubre de 2016 </w:t>
                              </w:r>
                              <w:r w:rsidRPr="00CB38D2">
                                <w:rPr>
                                  <w:rFonts w:ascii="Arial" w:eastAsia="Times New Roman" w:hAnsi="Arial" w:cs="Arial"/>
                                  <w:color w:val="000000"/>
                                  <w:sz w:val="17"/>
                                  <w:szCs w:val="17"/>
                                  <w:lang w:eastAsia="es-ES"/>
                                </w:rPr>
                                <w:t xml:space="preserve">Reunión GT Internacionalización de la I+D 2016-3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15 de Noviembre de 2016 </w:t>
                              </w:r>
                              <w:r w:rsidRPr="00CB38D2">
                                <w:rPr>
                                  <w:rFonts w:ascii="Arial" w:eastAsia="Times New Roman" w:hAnsi="Arial" w:cs="Arial"/>
                                  <w:color w:val="000000"/>
                                  <w:sz w:val="17"/>
                                  <w:szCs w:val="17"/>
                                  <w:lang w:eastAsia="es-ES"/>
                                </w:rPr>
                                <w:t xml:space="preserve">12º Foro PTEC: I+D+i en los Procesos de Construcción </w:t>
                              </w:r>
                              <w:hyperlink r:id="rId48"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29 de Noviembre de 2016 </w:t>
                              </w:r>
                              <w:r w:rsidRPr="00CB38D2">
                                <w:rPr>
                                  <w:rFonts w:ascii="Arial" w:eastAsia="Times New Roman" w:hAnsi="Arial" w:cs="Arial"/>
                                  <w:color w:val="000000"/>
                                  <w:sz w:val="17"/>
                                  <w:szCs w:val="17"/>
                                  <w:lang w:eastAsia="es-ES"/>
                                </w:rPr>
                                <w:t xml:space="preserve">Reunion CP PTEC 2016-3 </w:t>
                              </w:r>
                            </w:p>
                          </w:tc>
                        </w:tr>
                        <w:tr w:rsidR="00CB38D2" w:rsidRPr="00CB38D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xml:space="preserve">    EVENTOS NACIONALES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06 de Octubre de 2016 </w:t>
                              </w:r>
                              <w:r w:rsidRPr="00CB38D2">
                                <w:rPr>
                                  <w:rFonts w:ascii="Arial" w:eastAsia="Times New Roman" w:hAnsi="Arial" w:cs="Arial"/>
                                  <w:color w:val="000000"/>
                                  <w:sz w:val="17"/>
                                  <w:szCs w:val="17"/>
                                  <w:lang w:eastAsia="es-ES"/>
                                </w:rPr>
                                <w:t xml:space="preserve">Seminarios Torroja </w:t>
                              </w:r>
                              <w:hyperlink r:id="rId49"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B38D2" w:rsidRPr="00CB38D2" w:rsidRDefault="00CB38D2" w:rsidP="00CB38D2">
                              <w:pPr>
                                <w:spacing w:after="0" w:line="240" w:lineRule="auto"/>
                                <w:rPr>
                                  <w:rFonts w:ascii="Arial" w:eastAsia="Times New Roman" w:hAnsi="Arial" w:cs="Arial"/>
                                  <w:b/>
                                  <w:bCs/>
                                  <w:color w:val="FFFFFF"/>
                                  <w:sz w:val="26"/>
                                  <w:szCs w:val="26"/>
                                  <w:lang w:eastAsia="es-ES"/>
                                </w:rPr>
                              </w:pPr>
                              <w:r w:rsidRPr="00CB38D2">
                                <w:rPr>
                                  <w:rFonts w:ascii="Arial" w:eastAsia="Times New Roman" w:hAnsi="Arial" w:cs="Arial"/>
                                  <w:b/>
                                  <w:bCs/>
                                  <w:color w:val="FFFFFF"/>
                                  <w:sz w:val="26"/>
                                  <w:szCs w:val="26"/>
                                  <w:lang w:eastAsia="es-ES"/>
                                </w:rPr>
                                <w:t xml:space="preserve">    EVENTOS INTERNACIONALES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14 de Septiembre de 2016 </w:t>
                              </w:r>
                              <w:r w:rsidRPr="00CB38D2">
                                <w:rPr>
                                  <w:rFonts w:ascii="Arial" w:eastAsia="Times New Roman" w:hAnsi="Arial" w:cs="Arial"/>
                                  <w:color w:val="000000"/>
                                  <w:sz w:val="17"/>
                                  <w:szCs w:val="17"/>
                                  <w:lang w:eastAsia="es-ES"/>
                                </w:rPr>
                                <w:t xml:space="preserve">Infoday Reto Social 5 </w:t>
                              </w:r>
                              <w:hyperlink r:id="rId50"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19 de Septiembre de 2016 </w:t>
                              </w:r>
                              <w:r w:rsidRPr="00CB38D2">
                                <w:rPr>
                                  <w:rFonts w:ascii="Arial" w:eastAsia="Times New Roman" w:hAnsi="Arial" w:cs="Arial"/>
                                  <w:color w:val="000000"/>
                                  <w:sz w:val="17"/>
                                  <w:szCs w:val="17"/>
                                  <w:lang w:eastAsia="es-ES"/>
                                </w:rPr>
                                <w:t xml:space="preserve">Energy efficiency Info day </w:t>
                              </w:r>
                              <w:hyperlink r:id="rId51"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21 de Septiembre de 2016 </w:t>
                              </w:r>
                              <w:r w:rsidRPr="00CB38D2">
                                <w:rPr>
                                  <w:rFonts w:ascii="Arial" w:eastAsia="Times New Roman" w:hAnsi="Arial" w:cs="Arial"/>
                                  <w:color w:val="000000"/>
                                  <w:sz w:val="17"/>
                                  <w:szCs w:val="17"/>
                                  <w:lang w:eastAsia="es-ES"/>
                                </w:rPr>
                                <w:t xml:space="preserve">5th INTERNATIONAL CONFERENCE YOuth in COnservation of CUltural Heritage YOCOCU </w:t>
                              </w:r>
                              <w:hyperlink r:id="rId52"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28 de Septiembre de 2016 </w:t>
                              </w:r>
                              <w:r w:rsidRPr="00CB38D2">
                                <w:rPr>
                                  <w:rFonts w:ascii="Arial" w:eastAsia="Times New Roman" w:hAnsi="Arial" w:cs="Arial"/>
                                  <w:color w:val="000000"/>
                                  <w:sz w:val="17"/>
                                  <w:szCs w:val="17"/>
                                  <w:lang w:eastAsia="es-ES"/>
                                </w:rPr>
                                <w:t xml:space="preserve">Horizon 2020 Transport information day </w:t>
                              </w:r>
                              <w:hyperlink r:id="rId53"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nil"/>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lastRenderedPageBreak/>
                                <w:t xml:space="preserve">14 de Octubre de 2016 </w:t>
                              </w:r>
                              <w:r w:rsidRPr="00CB38D2">
                                <w:rPr>
                                  <w:rFonts w:ascii="Arial" w:eastAsia="Times New Roman" w:hAnsi="Arial" w:cs="Arial"/>
                                  <w:color w:val="000000"/>
                                  <w:sz w:val="17"/>
                                  <w:szCs w:val="17"/>
                                  <w:lang w:eastAsia="es-ES"/>
                                </w:rPr>
                                <w:t xml:space="preserve">Jornada de Presentación de Convocatorias cPPP EeB, FoF, SPIRE, EGVI 2017 </w:t>
                              </w:r>
                              <w:hyperlink r:id="rId54"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r w:rsidR="00CB38D2" w:rsidRPr="00CB38D2">
                          <w:trPr>
                            <w:tblCellSpacing w:w="0" w:type="dxa"/>
                          </w:trPr>
                          <w:tc>
                            <w:tcPr>
                              <w:tcW w:w="0" w:type="auto"/>
                              <w:tcBorders>
                                <w:top w:val="nil"/>
                                <w:left w:val="nil"/>
                                <w:bottom w:val="single" w:sz="6" w:space="0" w:color="AA0000"/>
                                <w:right w:val="nil"/>
                              </w:tcBorders>
                              <w:shd w:val="clear" w:color="auto" w:fill="FFFFFF"/>
                              <w:vAlign w:val="center"/>
                              <w:hideMark/>
                            </w:tcPr>
                            <w:p w:rsidR="00CB38D2" w:rsidRPr="00CB38D2" w:rsidRDefault="00CB38D2" w:rsidP="00CB38D2">
                              <w:pPr>
                                <w:spacing w:after="0" w:line="300" w:lineRule="auto"/>
                                <w:ind w:left="30" w:right="60"/>
                                <w:rPr>
                                  <w:rFonts w:ascii="Arial" w:eastAsia="Times New Roman" w:hAnsi="Arial" w:cs="Arial"/>
                                  <w:color w:val="000000"/>
                                  <w:sz w:val="17"/>
                                  <w:szCs w:val="17"/>
                                  <w:lang w:eastAsia="es-ES"/>
                                </w:rPr>
                              </w:pPr>
                              <w:r w:rsidRPr="00CB38D2">
                                <w:rPr>
                                  <w:rFonts w:ascii="Arial" w:eastAsia="Times New Roman" w:hAnsi="Arial" w:cs="Arial"/>
                                  <w:b/>
                                  <w:bCs/>
                                  <w:color w:val="AA0000"/>
                                  <w:sz w:val="18"/>
                                  <w:szCs w:val="18"/>
                                  <w:lang w:eastAsia="es-ES"/>
                                </w:rPr>
                                <w:t xml:space="preserve">18 de Octubre de 2016 </w:t>
                              </w:r>
                              <w:r w:rsidRPr="00CB38D2">
                                <w:rPr>
                                  <w:rFonts w:ascii="Arial" w:eastAsia="Times New Roman" w:hAnsi="Arial" w:cs="Arial"/>
                                  <w:color w:val="000000"/>
                                  <w:sz w:val="17"/>
                                  <w:szCs w:val="17"/>
                                  <w:lang w:eastAsia="es-ES"/>
                                </w:rPr>
                                <w:t xml:space="preserve">1st edition of the European Road Infrastructure Congress. </w:t>
                              </w:r>
                              <w:hyperlink r:id="rId55" w:history="1">
                                <w:r w:rsidRPr="00CB38D2">
                                  <w:rPr>
                                    <w:rFonts w:ascii="Arial" w:eastAsia="Times New Roman" w:hAnsi="Arial" w:cs="Arial"/>
                                    <w:b/>
                                    <w:bCs/>
                                    <w:color w:val="000033"/>
                                    <w:sz w:val="15"/>
                                    <w:szCs w:val="15"/>
                                    <w:u w:val="single"/>
                                    <w:lang w:eastAsia="es-ES"/>
                                  </w:rPr>
                                  <w:t>Ver evento</w:t>
                                </w:r>
                              </w:hyperlink>
                              <w:r w:rsidRPr="00CB38D2">
                                <w:rPr>
                                  <w:rFonts w:ascii="Arial" w:eastAsia="Times New Roman" w:hAnsi="Arial" w:cs="Arial"/>
                                  <w:color w:val="000000"/>
                                  <w:sz w:val="17"/>
                                  <w:szCs w:val="17"/>
                                  <w:lang w:eastAsia="es-ES"/>
                                </w:rPr>
                                <w:t xml:space="preserve"> </w:t>
                              </w: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lastRenderedPageBreak/>
                          <w:t> </w:t>
                        </w:r>
                      </w:p>
                    </w:tc>
                  </w:tr>
                  <w:tr w:rsidR="00CB38D2" w:rsidRPr="00CB38D2">
                    <w:trPr>
                      <w:tblCellSpacing w:w="0" w:type="dxa"/>
                      <w:jc w:val="center"/>
                    </w:trPr>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CB38D2" w:rsidRPr="00CB38D2" w:rsidRDefault="00CB38D2" w:rsidP="00CB38D2">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CB38D2" w:rsidRPr="00CB38D2" w:rsidRDefault="00CB38D2" w:rsidP="00CB38D2">
                        <w:pPr>
                          <w:spacing w:after="0" w:line="240" w:lineRule="auto"/>
                          <w:rPr>
                            <w:rFonts w:ascii="Arial" w:eastAsia="Times New Roman" w:hAnsi="Arial" w:cs="Arial"/>
                            <w:color w:val="666666"/>
                            <w:sz w:val="17"/>
                            <w:szCs w:val="17"/>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8310" w:type="dxa"/>
                  <w:tcBorders>
                    <w:top w:val="nil"/>
                    <w:left w:val="nil"/>
                    <w:bottom w:val="nil"/>
                    <w:right w:val="nil"/>
                  </w:tcBorders>
                  <w:vAlign w:val="center"/>
                  <w:hideMark/>
                </w:tcPr>
                <w:p w:rsidR="00CB38D2" w:rsidRPr="00CB38D2" w:rsidRDefault="00CB38D2" w:rsidP="00CB38D2">
                  <w:pPr>
                    <w:spacing w:after="0" w:line="240" w:lineRule="auto"/>
                    <w:rPr>
                      <w:rFonts w:ascii="Times New Roman" w:eastAsia="Times New Roman" w:hAnsi="Times New Roman" w:cs="Times New Roman"/>
                      <w:sz w:val="20"/>
                      <w:szCs w:val="20"/>
                      <w:lang w:eastAsia="es-ES"/>
                    </w:rPr>
                  </w:pPr>
                </w:p>
              </w:tc>
            </w:tr>
          </w:tbl>
          <w:p w:rsidR="00CB38D2" w:rsidRPr="00CB38D2" w:rsidRDefault="00CB38D2" w:rsidP="00CB38D2">
            <w:pPr>
              <w:spacing w:after="0" w:line="240" w:lineRule="auto"/>
              <w:rPr>
                <w:rFonts w:ascii="Arial" w:eastAsia="Times New Roman" w:hAnsi="Arial" w:cs="Arial"/>
                <w:color w:val="666666"/>
                <w:sz w:val="17"/>
                <w:szCs w:val="17"/>
                <w:lang w:eastAsia="es-ES"/>
              </w:rPr>
            </w:pPr>
          </w:p>
        </w:tc>
      </w:tr>
      <w:tr w:rsidR="00CB38D2" w:rsidRPr="00CB38D2">
        <w:trPr>
          <w:tblCellSpacing w:w="0" w:type="dxa"/>
          <w:jc w:val="center"/>
        </w:trPr>
        <w:tc>
          <w:tcPr>
            <w:tcW w:w="0" w:type="auto"/>
            <w:tcBorders>
              <w:bottom w:val="single" w:sz="6" w:space="0" w:color="666666"/>
            </w:tcBorders>
            <w:shd w:val="clear" w:color="auto" w:fill="FFFFFF"/>
            <w:hideMark/>
          </w:tcPr>
          <w:p w:rsidR="00CB38D2" w:rsidRPr="00CB38D2" w:rsidRDefault="00CB38D2" w:rsidP="00CB38D2">
            <w:pPr>
              <w:spacing w:after="0" w:line="240" w:lineRule="auto"/>
              <w:rPr>
                <w:rFonts w:ascii="Arial" w:eastAsia="Times New Roman" w:hAnsi="Arial" w:cs="Arial"/>
                <w:color w:val="666666"/>
                <w:sz w:val="17"/>
                <w:szCs w:val="17"/>
                <w:lang w:eastAsia="es-ES"/>
              </w:rPr>
            </w:pPr>
            <w:r w:rsidRPr="00CB38D2">
              <w:rPr>
                <w:rFonts w:ascii="Arial" w:eastAsia="Times New Roman" w:hAnsi="Arial" w:cs="Arial"/>
                <w:noProof/>
                <w:color w:val="666666"/>
                <w:sz w:val="17"/>
                <w:szCs w:val="17"/>
                <w:lang w:eastAsia="es-ES"/>
              </w:rPr>
              <w:lastRenderedPageBreak/>
              <w:drawing>
                <wp:inline distT="0" distB="0" distL="0" distR="0">
                  <wp:extent cx="5227320" cy="495300"/>
                  <wp:effectExtent l="0" t="0" r="11430" b="0"/>
                  <wp:docPr id="23" name="Imagen 23"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26a60b317bf1c8ea59b1897403c549c.nomad@mimemail"/>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CB38D2" w:rsidRPr="00CB38D2" w:rsidRDefault="00CB38D2" w:rsidP="00CB38D2">
      <w:pPr>
        <w:spacing w:after="0" w:line="240" w:lineRule="auto"/>
        <w:jc w:val="center"/>
        <w:rPr>
          <w:rFonts w:ascii="Arial" w:eastAsia="Times New Roman" w:hAnsi="Arial" w:cs="Arial"/>
          <w:color w:val="666666"/>
          <w:sz w:val="17"/>
          <w:szCs w:val="17"/>
          <w:lang w:eastAsia="es-ES"/>
        </w:rPr>
      </w:pPr>
      <w:r w:rsidRPr="00CB38D2">
        <w:rPr>
          <w:rFonts w:ascii="Arial" w:eastAsia="Times New Roman" w:hAnsi="Arial" w:cs="Arial"/>
          <w:color w:val="666666"/>
          <w:sz w:val="17"/>
          <w:szCs w:val="17"/>
          <w:lang w:eastAsia="es-ES"/>
        </w:rPr>
        <w:br/>
      </w:r>
      <w:r w:rsidRPr="00CB38D2">
        <w:rPr>
          <w:rFonts w:ascii="Arial" w:eastAsia="Times New Roman" w:hAnsi="Arial" w:cs="Arial"/>
          <w:color w:val="666666"/>
          <w:sz w:val="15"/>
          <w:szCs w:val="15"/>
          <w:lang w:eastAsia="es-ES"/>
        </w:rPr>
        <w:t xml:space="preserve">Recibe este mensaje porque está dado de alta en </w:t>
      </w:r>
      <w:hyperlink r:id="rId58" w:tgtFrame="_blank" w:history="1">
        <w:r w:rsidRPr="00CB38D2">
          <w:rPr>
            <w:rFonts w:ascii="Arial" w:eastAsia="Times New Roman" w:hAnsi="Arial" w:cs="Arial"/>
            <w:color w:val="666666"/>
            <w:sz w:val="17"/>
            <w:szCs w:val="17"/>
            <w:u w:val="single"/>
            <w:lang w:eastAsia="es-ES"/>
          </w:rPr>
          <w:t>PLATAFORMAPTEC.com</w:t>
        </w:r>
      </w:hyperlink>
      <w:r w:rsidRPr="00CB38D2">
        <w:rPr>
          <w:rFonts w:ascii="Arial" w:eastAsia="Times New Roman" w:hAnsi="Arial" w:cs="Arial"/>
          <w:color w:val="666666"/>
          <w:sz w:val="15"/>
          <w:szCs w:val="15"/>
          <w:lang w:eastAsia="es-ES"/>
        </w:rPr>
        <w:t xml:space="preserve">. </w:t>
      </w:r>
      <w:r w:rsidRPr="00CB38D2">
        <w:rPr>
          <w:rFonts w:ascii="Arial" w:eastAsia="Times New Roman" w:hAnsi="Arial" w:cs="Arial"/>
          <w:color w:val="666666"/>
          <w:sz w:val="15"/>
          <w:szCs w:val="15"/>
          <w:lang w:eastAsia="es-ES"/>
        </w:rPr>
        <w:br/>
        <w:t xml:space="preserve">Si no desea recibir más mensajes como éste puede darse de baja desde el menú de usuario. </w:t>
      </w:r>
    </w:p>
    <w:p w:rsidR="00CB38D2" w:rsidRPr="00CB38D2" w:rsidRDefault="00CB38D2" w:rsidP="00CB38D2">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304703">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D2"/>
    <w:rsid w:val="0022287D"/>
    <w:rsid w:val="00CB3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CA98D-BF59-4DBE-AF94-9599A45A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8D2"/>
    <w:rPr>
      <w:rFonts w:ascii="Arial" w:hAnsi="Arial" w:cs="Arial"/>
      <w:color w:val="666666"/>
      <w:sz w:val="17"/>
      <w:szCs w:val="17"/>
      <w:u w:val="single"/>
    </w:rPr>
  </w:style>
  <w:style w:type="paragraph" w:styleId="NormalWeb">
    <w:name w:val="Normal (Web)"/>
    <w:basedOn w:val="Normal"/>
    <w:uiPriority w:val="99"/>
    <w:semiHidden/>
    <w:unhideWhenUsed/>
    <w:rsid w:val="00CB38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3465" TargetMode="External"/><Relationship Id="rId18" Type="http://schemas.openxmlformats.org/officeDocument/2006/relationships/image" Target="http://www.plataformaptec.com/imagenes/71a4e9486cb78428d1ce3705c9a9ad03.png" TargetMode="External"/><Relationship Id="rId26" Type="http://schemas.openxmlformats.org/officeDocument/2006/relationships/image" Target="http://www.plataformaptec.com/imagenes/8fb7779e611058bacd6084a8acd0c5e2.jpg" TargetMode="External"/><Relationship Id="rId39" Type="http://schemas.openxmlformats.org/officeDocument/2006/relationships/image" Target="http://www.plataformaptec.com/imagenes/086834db911153831ad2d6bc5fd45833.jpg" TargetMode="External"/><Relationship Id="rId21" Type="http://schemas.openxmlformats.org/officeDocument/2006/relationships/hyperlink" Target="http://www.plataformaptec.es/ver-noticia.php?id=3451" TargetMode="External"/><Relationship Id="rId34" Type="http://schemas.openxmlformats.org/officeDocument/2006/relationships/hyperlink" Target="http://www.plataformaptec.es/ver-noticia.php?id=3456" TargetMode="External"/><Relationship Id="rId42" Type="http://schemas.openxmlformats.org/officeDocument/2006/relationships/hyperlink" Target="http://www.plataformaptec.es/ver-noticia.php?id=3460" TargetMode="External"/><Relationship Id="rId47" Type="http://schemas.openxmlformats.org/officeDocument/2006/relationships/hyperlink" Target="http://www.plataformaptec.es/ver-evento.php?id=812" TargetMode="External"/><Relationship Id="rId50" Type="http://schemas.openxmlformats.org/officeDocument/2006/relationships/hyperlink" Target="http://www.plataformaptec.es/ver-evento.php?id=825" TargetMode="External"/><Relationship Id="rId55" Type="http://schemas.openxmlformats.org/officeDocument/2006/relationships/hyperlink" Target="http://www.plataformaptec.es/ver-evento.php?id=763" TargetMode="External"/><Relationship Id="rId7" Type="http://schemas.openxmlformats.org/officeDocument/2006/relationships/hyperlink" Target="http://www.plataformaptec.es/ver-noticia.php?id=3463" TargetMode="External"/><Relationship Id="rId12" Type="http://schemas.openxmlformats.org/officeDocument/2006/relationships/image" Target="http://www.plataformaptec.com/imagenes/d875dc373978ba95481eab44616247a1.png" TargetMode="External"/><Relationship Id="rId17" Type="http://schemas.openxmlformats.org/officeDocument/2006/relationships/hyperlink" Target="http://www.plataformaptec.es/ver-noticia.php?id=3449" TargetMode="External"/><Relationship Id="rId25" Type="http://schemas.openxmlformats.org/officeDocument/2006/relationships/hyperlink" Target="http://www.plataformaptec.es/ver-noticia.php?id=3461" TargetMode="External"/><Relationship Id="rId33" Type="http://schemas.openxmlformats.org/officeDocument/2006/relationships/image" Target="http://www.plataformaptec.com/imagenes/8e72c202960b065c0210b03e5ac7e125.jpg" TargetMode="External"/><Relationship Id="rId38" Type="http://schemas.openxmlformats.org/officeDocument/2006/relationships/hyperlink" Target="http://www.plataformaptec.es/ver-noticia.php?id=3458" TargetMode="External"/><Relationship Id="rId46" Type="http://schemas.openxmlformats.org/officeDocument/2006/relationships/hyperlink" Target="http://www.plataformaptec.es/ver-noticia.php?id=3462"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da1e3eb0a076c19220271df14cedb017.jpg" TargetMode="External"/><Relationship Id="rId20" Type="http://schemas.openxmlformats.org/officeDocument/2006/relationships/image" Target="http://www.plataformaptec.com/imagenes/9dc452ccc0444faa157dd294baa7074e.gif" TargetMode="External"/><Relationship Id="rId29" Type="http://schemas.openxmlformats.org/officeDocument/2006/relationships/hyperlink" Target="http://www.plataformaptec.es/ver-noticia.php?id=3454" TargetMode="External"/><Relationship Id="rId41" Type="http://schemas.openxmlformats.org/officeDocument/2006/relationships/image" Target="http://www.plataformaptec.com/imagenes/35bfb6de16cf4ea9c5ae30484303275f.jpg" TargetMode="External"/><Relationship Id="rId54" Type="http://schemas.openxmlformats.org/officeDocument/2006/relationships/hyperlink" Target="http://www.plataformaptec.es/ver-evento.php?id=824" TargetMode="External"/><Relationship Id="rId1" Type="http://schemas.openxmlformats.org/officeDocument/2006/relationships/styles" Target="styles.xml"/><Relationship Id="rId6" Type="http://schemas.openxmlformats.org/officeDocument/2006/relationships/image" Target="http://www.plataformaptec.com/imagenes/ee82bf76182472df62c1afbdf5bea1cf.png" TargetMode="External"/><Relationship Id="rId11" Type="http://schemas.openxmlformats.org/officeDocument/2006/relationships/hyperlink" Target="http://www.plataformaptec.es/ver-noticia.php?id=3464" TargetMode="External"/><Relationship Id="rId24" Type="http://schemas.openxmlformats.org/officeDocument/2006/relationships/image" Target="http://www.plataformaptec.com/imagenes/8e36c7e7351569a56fa7c0974e660929.jpg" TargetMode="External"/><Relationship Id="rId32" Type="http://schemas.openxmlformats.org/officeDocument/2006/relationships/hyperlink" Target="http://www.plataformaptec.es/ver-noticia.php?id=3455" TargetMode="External"/><Relationship Id="rId37" Type="http://schemas.openxmlformats.org/officeDocument/2006/relationships/image" Target="http://www.plataformaptec.com/imagenes/efdd6346f7ed9f94146c11e05e9a1b2c.gif" TargetMode="External"/><Relationship Id="rId40" Type="http://schemas.openxmlformats.org/officeDocument/2006/relationships/hyperlink" Target="http://www.plataformaptec.es/ver-noticia.php?id=3459" TargetMode="External"/><Relationship Id="rId45" Type="http://schemas.openxmlformats.org/officeDocument/2006/relationships/image" Target="http://www.plataformaptec.com/imagenes/5f3caacde155115720b44c0a54abad81.jpg" TargetMode="External"/><Relationship Id="rId53" Type="http://schemas.openxmlformats.org/officeDocument/2006/relationships/hyperlink" Target="http://www.plataformaptec.es/ver-evento.php?id=823" TargetMode="External"/><Relationship Id="rId58" Type="http://schemas.openxmlformats.org/officeDocument/2006/relationships/hyperlink" Target="http://www.plataformaptec.com"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3448" TargetMode="External"/><Relationship Id="rId23" Type="http://schemas.openxmlformats.org/officeDocument/2006/relationships/hyperlink" Target="http://www.plataformaptec.es/ver-noticia.php?id=3452" TargetMode="External"/><Relationship Id="rId28" Type="http://schemas.openxmlformats.org/officeDocument/2006/relationships/image" Target="http://www.plataformaptec.com/imagenes/23d444e2e7b369e8c1627c9f7795c055.jpg" TargetMode="External"/><Relationship Id="rId36" Type="http://schemas.openxmlformats.org/officeDocument/2006/relationships/hyperlink" Target="http://www.plataformaptec.es/ver-noticia.php?id=3457" TargetMode="External"/><Relationship Id="rId49" Type="http://schemas.openxmlformats.org/officeDocument/2006/relationships/hyperlink" Target="http://www.plataformaptec.es/ver-evento.php?id=827" TargetMode="External"/><Relationship Id="rId57" Type="http://schemas.openxmlformats.org/officeDocument/2006/relationships/image" Target="cid:226a60b317bf1c8ea59b1897403c549c.nomad@mimemail" TargetMode="External"/><Relationship Id="rId10" Type="http://schemas.openxmlformats.org/officeDocument/2006/relationships/image" Target="http://www.plataformaptec.com/imagenes/b01a364e396a3952490c499c6aaa6c8f.png" TargetMode="External"/><Relationship Id="rId19" Type="http://schemas.openxmlformats.org/officeDocument/2006/relationships/hyperlink" Target="http://www.plataformaptec.es/ver-noticia.php?id=3450" TargetMode="External"/><Relationship Id="rId31" Type="http://schemas.openxmlformats.org/officeDocument/2006/relationships/hyperlink" Target="mailto:info@fehrl.org" TargetMode="External"/><Relationship Id="rId44" Type="http://schemas.openxmlformats.org/officeDocument/2006/relationships/hyperlink" Target="http://www.plataformaptec.es/ver-noticia.php?id=3445" TargetMode="External"/><Relationship Id="rId52" Type="http://schemas.openxmlformats.org/officeDocument/2006/relationships/hyperlink" Target="http://www.plataformaptec.es/ver-evento.php?id=805" TargetMode="External"/><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lataformaptec.es/ver-noticia.php?id=3447" TargetMode="External"/><Relationship Id="rId14" Type="http://schemas.openxmlformats.org/officeDocument/2006/relationships/image" Target="http://www.plataformaptec.com/imagenes/110725bc29c78ae3e2413bd9fc856d1c.jpg" TargetMode="External"/><Relationship Id="rId22" Type="http://schemas.openxmlformats.org/officeDocument/2006/relationships/image" Target="http://www.plataformaptec.com/imagenes/e8625b528045e684977df16704027b41.gif" TargetMode="External"/><Relationship Id="rId27" Type="http://schemas.openxmlformats.org/officeDocument/2006/relationships/hyperlink" Target="http://www.plataformaptec.es/ver-noticia.php?id=3453" TargetMode="External"/><Relationship Id="rId30" Type="http://schemas.openxmlformats.org/officeDocument/2006/relationships/image" Target="http://www.plataformaptec.com/imagenes/e84df88d33e0b1883188b4b2979adf1d.png" TargetMode="External"/><Relationship Id="rId35" Type="http://schemas.openxmlformats.org/officeDocument/2006/relationships/image" Target="http://www.plataformaptec.com/imagenes/103945a7fdc7ef1963eae6d82a863898.jpg" TargetMode="External"/><Relationship Id="rId43" Type="http://schemas.openxmlformats.org/officeDocument/2006/relationships/image" Target="http://www.plataformaptec.com/imagenes/6c4db8e5c13bc3f20ba4c5efde37b0c1.png" TargetMode="External"/><Relationship Id="rId48" Type="http://schemas.openxmlformats.org/officeDocument/2006/relationships/hyperlink" Target="http://www.plataformaptec.es/ver-evento.php?id=815" TargetMode="External"/><Relationship Id="rId56" Type="http://schemas.openxmlformats.org/officeDocument/2006/relationships/image" Target="media/image2.png"/><Relationship Id="rId8" Type="http://schemas.openxmlformats.org/officeDocument/2006/relationships/image" Target="http://www.plataformaptec.com/imagenes/4ffe047752a2aff0ec88d06d5debd042.jpg" TargetMode="External"/><Relationship Id="rId51" Type="http://schemas.openxmlformats.org/officeDocument/2006/relationships/hyperlink" Target="http://www.plataformaptec.es/ver-evento.php?id=822"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2016-09-12T08:14:00Z</dcterms:created>
  <dcterms:modified xsi:type="dcterms:W3CDTF">2016-09-12T08:14:00Z</dcterms:modified>
</cp:coreProperties>
</file>